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339E" w14:textId="77777777" w:rsidR="00AD4BB9" w:rsidRPr="0087105E" w:rsidRDefault="00AD4BB9" w:rsidP="00AD4BB9">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9520"/>
      </w:tblGrid>
      <w:tr w:rsidR="00AD4BB9" w:rsidRPr="00110291" w14:paraId="4569AF3E" w14:textId="77777777" w:rsidTr="007012EE">
        <w:trPr>
          <w:trHeight w:val="1816"/>
          <w:jc w:val="center"/>
        </w:trPr>
        <w:tc>
          <w:tcPr>
            <w:tcW w:w="9520" w:type="dxa"/>
            <w:shd w:val="clear" w:color="auto" w:fill="auto"/>
          </w:tcPr>
          <w:p w14:paraId="3944E6BB" w14:textId="40231770" w:rsidR="00AD4BB9" w:rsidRPr="00055204" w:rsidRDefault="00AD4BB9" w:rsidP="007012EE">
            <w:pPr>
              <w:spacing w:after="200" w:line="276" w:lineRule="auto"/>
              <w:jc w:val="center"/>
              <w:rPr>
                <w:rFonts w:eastAsia="Calibri"/>
                <w:b/>
                <w:sz w:val="36"/>
                <w:szCs w:val="36"/>
                <w:lang w:val="it-IT"/>
              </w:rPr>
            </w:pPr>
            <w:r w:rsidRPr="00055204">
              <w:rPr>
                <w:rFonts w:eastAsia="Calibri"/>
                <w:b/>
                <w:sz w:val="36"/>
                <w:szCs w:val="36"/>
                <w:lang w:val="it-IT"/>
              </w:rPr>
              <w:t>SCHEDA DI OFFERTA TECNICA</w:t>
            </w:r>
          </w:p>
          <w:p w14:paraId="76FBCE02" w14:textId="4F3619D6" w:rsidR="00AD4BB9" w:rsidRPr="00BD7556" w:rsidRDefault="00AD4BB9" w:rsidP="007012EE">
            <w:pPr>
              <w:spacing w:after="200" w:line="276" w:lineRule="auto"/>
              <w:jc w:val="center"/>
              <w:rPr>
                <w:rFonts w:ascii="Calibri" w:eastAsia="Calibri" w:hAnsi="Calibri" w:cs="Calibri"/>
                <w:b/>
                <w:sz w:val="36"/>
                <w:szCs w:val="36"/>
                <w:lang w:val="it-IT"/>
              </w:rPr>
            </w:pPr>
            <w:r w:rsidRPr="00055204">
              <w:rPr>
                <w:rFonts w:eastAsia="Calibri"/>
                <w:b/>
                <w:sz w:val="36"/>
                <w:szCs w:val="36"/>
                <w:lang w:val="it-IT"/>
              </w:rPr>
              <w:t xml:space="preserve">Lotto </w:t>
            </w:r>
            <w:r w:rsidR="002E3245" w:rsidRPr="00055204">
              <w:rPr>
                <w:rFonts w:eastAsia="Calibri"/>
                <w:b/>
                <w:sz w:val="36"/>
                <w:szCs w:val="36"/>
                <w:lang w:val="it-IT"/>
              </w:rPr>
              <w:t>Unico</w:t>
            </w:r>
          </w:p>
          <w:p w14:paraId="0C34AECE" w14:textId="38C2E694" w:rsidR="007012EE" w:rsidRPr="00055204" w:rsidRDefault="007012EE" w:rsidP="007012EE">
            <w:pPr>
              <w:jc w:val="both"/>
              <w:rPr>
                <w:b/>
                <w:lang w:val="it-IT"/>
              </w:rPr>
            </w:pPr>
            <w:r w:rsidRPr="00055204">
              <w:rPr>
                <w:b/>
                <w:lang w:val="it-IT"/>
              </w:rPr>
              <w:t xml:space="preserve">Procedura aperta sopra soglia, ai sensi degli articoli 35, 58 e 60 del decreto legislativo 18 aprile 2016, n. 50 e </w:t>
            </w:r>
            <w:proofErr w:type="spellStart"/>
            <w:r w:rsidRPr="00055204">
              <w:rPr>
                <w:b/>
                <w:lang w:val="it-IT"/>
              </w:rPr>
              <w:t>s.m.i.</w:t>
            </w:r>
            <w:proofErr w:type="spellEnd"/>
            <w:r w:rsidRPr="00055204">
              <w:rPr>
                <w:b/>
                <w:lang w:val="it-IT"/>
              </w:rPr>
              <w:t xml:space="preserve">, per l’affidamento di servizi assicurativi sugli immobili in uso alla PCM con copertura </w:t>
            </w:r>
            <w:proofErr w:type="spellStart"/>
            <w:r w:rsidRPr="00055204">
              <w:rPr>
                <w:b/>
                <w:lang w:val="it-IT"/>
              </w:rPr>
              <w:t>all</w:t>
            </w:r>
            <w:proofErr w:type="spellEnd"/>
            <w:r w:rsidRPr="00055204">
              <w:rPr>
                <w:b/>
                <w:lang w:val="it-IT"/>
              </w:rPr>
              <w:t xml:space="preserve"> risks comprensiva di Responsabilità Civile verso Terzi (RCT). </w:t>
            </w:r>
          </w:p>
          <w:p w14:paraId="6C74518E" w14:textId="43F51CC3" w:rsidR="00AD4BB9" w:rsidRPr="007012EE" w:rsidRDefault="007012EE" w:rsidP="007012EE">
            <w:pPr>
              <w:rPr>
                <w:rFonts w:ascii="Calibri" w:hAnsi="Calibri" w:cs="Calibri"/>
                <w:b/>
                <w:lang w:val="it-IT"/>
              </w:rPr>
            </w:pPr>
            <w:r w:rsidRPr="00055204">
              <w:rPr>
                <w:b/>
                <w:lang w:val="it-IT"/>
              </w:rPr>
              <w:t xml:space="preserve">CIG: </w:t>
            </w:r>
            <w:r w:rsidR="007E17F6" w:rsidRPr="007E17F6">
              <w:rPr>
                <w:b/>
                <w:lang w:val="it-IT"/>
              </w:rPr>
              <w:t>86863380E2</w:t>
            </w:r>
            <w:bookmarkStart w:id="0" w:name="_GoBack"/>
            <w:bookmarkEnd w:id="0"/>
          </w:p>
        </w:tc>
      </w:tr>
    </w:tbl>
    <w:p w14:paraId="0274C4B4" w14:textId="77777777" w:rsidR="00AD4BB9" w:rsidRPr="008E4177" w:rsidRDefault="00AD4BB9" w:rsidP="00AD4BB9">
      <w:pPr>
        <w:rPr>
          <w:rFonts w:ascii="Calibri" w:hAnsi="Calibri" w:cs="Calibri"/>
          <w:vanish/>
          <w:sz w:val="20"/>
          <w:szCs w:val="20"/>
          <w:lang w:val="it-IT"/>
        </w:rPr>
      </w:pPr>
    </w:p>
    <w:p w14:paraId="7CC9CA92" w14:textId="77777777" w:rsidR="00AD4BB9" w:rsidRPr="000C61BC" w:rsidRDefault="00AD4BB9" w:rsidP="00AD4BB9">
      <w:pPr>
        <w:pStyle w:val="Sommario2"/>
        <w:rPr>
          <w:rFonts w:asciiTheme="minorHAnsi" w:hAnsiTheme="minorHAnsi" w:cstheme="minorHAnsi"/>
        </w:rPr>
      </w:pPr>
    </w:p>
    <w:p w14:paraId="646D2E42"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532"/>
        </w:tabs>
        <w:spacing w:after="120"/>
        <w:jc w:val="both"/>
        <w:rPr>
          <w:sz w:val="22"/>
          <w:szCs w:val="22"/>
          <w:lang w:val="it-IT"/>
        </w:rPr>
      </w:pPr>
    </w:p>
    <w:p w14:paraId="4B94977B"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532"/>
        </w:tabs>
        <w:spacing w:after="120"/>
        <w:jc w:val="both"/>
        <w:rPr>
          <w:sz w:val="22"/>
          <w:szCs w:val="22"/>
          <w:lang w:val="it-IT"/>
        </w:rPr>
      </w:pPr>
      <w:r w:rsidRPr="00947ACE">
        <w:rPr>
          <w:sz w:val="22"/>
          <w:szCs w:val="22"/>
          <w:lang w:val="it-IT"/>
        </w:rPr>
        <w:t>Il sottoscritto:</w:t>
      </w:r>
      <w:r w:rsidRPr="00947ACE">
        <w:rPr>
          <w:sz w:val="22"/>
          <w:szCs w:val="22"/>
          <w:lang w:val="it-IT"/>
        </w:rPr>
        <w:tab/>
        <w:t>......................................................................................................................................................</w:t>
      </w:r>
    </w:p>
    <w:p w14:paraId="1E842D0A"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532"/>
        </w:tabs>
        <w:spacing w:after="120"/>
        <w:jc w:val="both"/>
        <w:rPr>
          <w:sz w:val="22"/>
          <w:szCs w:val="22"/>
          <w:lang w:val="it-IT"/>
        </w:rPr>
      </w:pPr>
      <w:r w:rsidRPr="00947ACE">
        <w:rPr>
          <w:sz w:val="22"/>
          <w:szCs w:val="22"/>
          <w:lang w:val="it-IT"/>
        </w:rPr>
        <w:t>codice fiscale:</w:t>
      </w:r>
      <w:r w:rsidRPr="00947ACE">
        <w:rPr>
          <w:sz w:val="22"/>
          <w:szCs w:val="22"/>
          <w:lang w:val="it-IT"/>
        </w:rPr>
        <w:tab/>
        <w:t>......................................................................................................................................................</w:t>
      </w:r>
    </w:p>
    <w:p w14:paraId="4FC0ACED"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sz w:val="22"/>
          <w:szCs w:val="22"/>
          <w:lang w:val="it-IT"/>
        </w:rPr>
      </w:pPr>
      <w:r w:rsidRPr="00947ACE">
        <w:rPr>
          <w:sz w:val="22"/>
          <w:szCs w:val="22"/>
          <w:lang w:val="it-IT"/>
        </w:rPr>
        <w:t>nato a:</w:t>
      </w:r>
      <w:r w:rsidRPr="00947ACE">
        <w:rPr>
          <w:sz w:val="22"/>
          <w:szCs w:val="22"/>
          <w:lang w:val="it-IT"/>
        </w:rPr>
        <w:tab/>
        <w:t>..................................................................................................................................</w:t>
      </w:r>
      <w:r w:rsidRPr="00947ACE">
        <w:rPr>
          <w:sz w:val="22"/>
          <w:szCs w:val="22"/>
          <w:lang w:val="it-IT"/>
        </w:rPr>
        <w:tab/>
        <w:t xml:space="preserve">il: </w:t>
      </w:r>
      <w:proofErr w:type="gramStart"/>
      <w:r w:rsidRPr="00947ACE">
        <w:rPr>
          <w:sz w:val="22"/>
          <w:szCs w:val="22"/>
          <w:lang w:val="it-IT"/>
        </w:rPr>
        <w:t>…....</w:t>
      </w:r>
      <w:proofErr w:type="gramEnd"/>
      <w:r w:rsidRPr="00947ACE">
        <w:rPr>
          <w:sz w:val="22"/>
          <w:szCs w:val="22"/>
          <w:lang w:val="it-IT"/>
        </w:rPr>
        <w:t>/…..../…......</w:t>
      </w:r>
    </w:p>
    <w:p w14:paraId="2DB6E733"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2446"/>
        </w:tabs>
        <w:spacing w:after="120"/>
        <w:jc w:val="both"/>
        <w:rPr>
          <w:sz w:val="22"/>
          <w:szCs w:val="22"/>
          <w:lang w:val="it-IT"/>
        </w:rPr>
      </w:pPr>
      <w:r w:rsidRPr="00947ACE">
        <w:rPr>
          <w:sz w:val="22"/>
          <w:szCs w:val="22"/>
          <w:lang w:val="it-IT"/>
        </w:rPr>
        <w:t>domiciliato per la carica presso la sede societaria, nella sua qualità di:</w:t>
      </w:r>
      <w:r w:rsidRPr="00947ACE">
        <w:rPr>
          <w:rStyle w:val="Rimandonotaapidipagina"/>
          <w:b/>
          <w:sz w:val="22"/>
          <w:szCs w:val="22"/>
          <w:lang w:val="it-IT"/>
        </w:rPr>
        <w:footnoteReference w:id="1"/>
      </w:r>
    </w:p>
    <w:p w14:paraId="5CD066F8"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2446"/>
        </w:tabs>
        <w:spacing w:after="120"/>
        <w:jc w:val="both"/>
        <w:rPr>
          <w:sz w:val="22"/>
          <w:szCs w:val="22"/>
          <w:lang w:val="it-IT"/>
        </w:rPr>
      </w:pPr>
      <w:r w:rsidRPr="00947ACE">
        <w:rPr>
          <w:sz w:val="22"/>
          <w:szCs w:val="22"/>
          <w:lang w:val="it-IT"/>
        </w:rPr>
        <w:t>.............................................................................................................................................................................</w:t>
      </w:r>
    </w:p>
    <w:p w14:paraId="420B10F5"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2446"/>
        </w:tabs>
        <w:spacing w:after="120"/>
        <w:jc w:val="both"/>
        <w:rPr>
          <w:sz w:val="22"/>
          <w:szCs w:val="22"/>
          <w:lang w:val="it-IT"/>
        </w:rPr>
      </w:pPr>
    </w:p>
    <w:p w14:paraId="3D96712E"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2446"/>
        </w:tabs>
        <w:spacing w:after="120"/>
        <w:jc w:val="both"/>
        <w:rPr>
          <w:sz w:val="22"/>
          <w:szCs w:val="22"/>
          <w:lang w:val="it-IT"/>
        </w:rPr>
      </w:pPr>
      <w:r w:rsidRPr="00947ACE">
        <w:rPr>
          <w:sz w:val="22"/>
          <w:szCs w:val="22"/>
          <w:lang w:val="it-IT"/>
        </w:rPr>
        <w:t>e legale rappresentante dell’Impresa: ......................................................................................................................</w:t>
      </w:r>
    </w:p>
    <w:p w14:paraId="4F80B3F2" w14:textId="77777777" w:rsidR="00106BBF" w:rsidRPr="00947ACE" w:rsidRDefault="00106BBF" w:rsidP="00AD4BB9">
      <w:pPr>
        <w:pBdr>
          <w:top w:val="dotted" w:sz="2" w:space="1" w:color="auto"/>
          <w:left w:val="dotted" w:sz="2" w:space="4" w:color="auto"/>
          <w:bottom w:val="dotted" w:sz="2" w:space="1" w:color="auto"/>
          <w:right w:val="dotted" w:sz="2" w:space="4" w:color="auto"/>
        </w:pBdr>
        <w:tabs>
          <w:tab w:val="left" w:pos="1989"/>
        </w:tabs>
        <w:spacing w:after="120"/>
        <w:jc w:val="both"/>
        <w:rPr>
          <w:sz w:val="22"/>
          <w:szCs w:val="22"/>
          <w:lang w:val="it-IT"/>
        </w:rPr>
      </w:pPr>
    </w:p>
    <w:p w14:paraId="17843AA3"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989"/>
        </w:tabs>
        <w:spacing w:after="120"/>
        <w:jc w:val="both"/>
        <w:rPr>
          <w:sz w:val="22"/>
          <w:szCs w:val="22"/>
          <w:lang w:val="it-IT"/>
        </w:rPr>
      </w:pPr>
      <w:r w:rsidRPr="00947ACE">
        <w:rPr>
          <w:sz w:val="22"/>
          <w:szCs w:val="22"/>
          <w:lang w:val="it-IT"/>
        </w:rPr>
        <w:t xml:space="preserve">con sede legale in: </w:t>
      </w:r>
      <w:r w:rsidRPr="00947ACE">
        <w:rPr>
          <w:sz w:val="22"/>
          <w:szCs w:val="22"/>
          <w:lang w:val="it-IT"/>
        </w:rPr>
        <w:tab/>
        <w:t>...............................................................................................................................................</w:t>
      </w:r>
    </w:p>
    <w:p w14:paraId="46CA2C06"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sz w:val="22"/>
          <w:szCs w:val="22"/>
          <w:lang w:val="it-IT"/>
        </w:rPr>
      </w:pPr>
      <w:r w:rsidRPr="00947ACE">
        <w:rPr>
          <w:sz w:val="22"/>
          <w:szCs w:val="22"/>
          <w:lang w:val="it-IT"/>
        </w:rPr>
        <w:t>Via/Piazza:</w:t>
      </w:r>
      <w:r w:rsidRPr="00947ACE">
        <w:rPr>
          <w:sz w:val="22"/>
          <w:szCs w:val="22"/>
          <w:lang w:val="it-IT"/>
        </w:rPr>
        <w:tab/>
        <w:t>....................................................................................................</w:t>
      </w:r>
      <w:r w:rsidRPr="00947ACE">
        <w:rPr>
          <w:sz w:val="22"/>
          <w:szCs w:val="22"/>
          <w:lang w:val="it-IT"/>
        </w:rPr>
        <w:tab/>
        <w:t>C.A.P.</w:t>
      </w:r>
      <w:r w:rsidRPr="00947ACE">
        <w:rPr>
          <w:sz w:val="22"/>
          <w:szCs w:val="22"/>
          <w:lang w:val="it-IT"/>
        </w:rPr>
        <w:tab/>
        <w:t>................................</w:t>
      </w:r>
    </w:p>
    <w:p w14:paraId="5507AD7B" w14:textId="2E8FB809" w:rsidR="00AD4BB9" w:rsidRPr="00947ACE" w:rsidRDefault="00AD4BB9" w:rsidP="00AD4BB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sz w:val="22"/>
          <w:szCs w:val="22"/>
          <w:lang w:val="it-IT"/>
        </w:rPr>
      </w:pPr>
      <w:r w:rsidRPr="00947ACE">
        <w:rPr>
          <w:sz w:val="22"/>
          <w:szCs w:val="22"/>
          <w:lang w:val="it-IT"/>
        </w:rPr>
        <w:t>Telefono: ...........................................; PEC: …………………….................................................</w:t>
      </w:r>
    </w:p>
    <w:p w14:paraId="22973694" w14:textId="77777777" w:rsidR="00AD4BB9" w:rsidRPr="00947ACE" w:rsidRDefault="00AD4BB9" w:rsidP="00AD4BB9">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sz w:val="22"/>
          <w:szCs w:val="22"/>
          <w:lang w:val="it-IT"/>
        </w:rPr>
      </w:pPr>
      <w:r w:rsidRPr="00947ACE">
        <w:rPr>
          <w:sz w:val="22"/>
          <w:szCs w:val="22"/>
          <w:lang w:val="it-IT"/>
        </w:rPr>
        <w:t>codice fiscale:</w:t>
      </w:r>
      <w:r w:rsidRPr="00947ACE">
        <w:rPr>
          <w:sz w:val="22"/>
          <w:szCs w:val="22"/>
          <w:lang w:val="it-IT"/>
        </w:rPr>
        <w:tab/>
        <w:t>........................................................</w:t>
      </w:r>
      <w:r w:rsidRPr="00947ACE">
        <w:rPr>
          <w:sz w:val="22"/>
          <w:szCs w:val="22"/>
          <w:lang w:val="it-IT"/>
        </w:rPr>
        <w:tab/>
        <w:t>Partita I.V.A.:</w:t>
      </w:r>
      <w:r w:rsidRPr="00947ACE">
        <w:rPr>
          <w:sz w:val="22"/>
          <w:szCs w:val="22"/>
          <w:lang w:val="it-IT"/>
        </w:rPr>
        <w:tab/>
        <w:t>..............................................................</w:t>
      </w:r>
    </w:p>
    <w:p w14:paraId="1E159F03" w14:textId="77777777" w:rsidR="00AD4BB9" w:rsidRPr="00947ACE" w:rsidRDefault="00AD4BB9" w:rsidP="00AD4BB9">
      <w:pPr>
        <w:numPr>
          <w:ilvl w:val="0"/>
          <w:numId w:val="49"/>
        </w:numPr>
        <w:spacing w:line="280" w:lineRule="exact"/>
        <w:jc w:val="both"/>
        <w:rPr>
          <w:sz w:val="22"/>
          <w:szCs w:val="22"/>
          <w:lang w:val="it-IT"/>
        </w:rPr>
      </w:pPr>
      <w:r w:rsidRPr="00947ACE">
        <w:rPr>
          <w:sz w:val="22"/>
          <w:szCs w:val="22"/>
          <w:lang w:val="it-IT"/>
        </w:rPr>
        <w:t>avendo conoscenza integrale di tutte le circostanze generali e speciali concernenti il rischio in oggetto;</w:t>
      </w:r>
    </w:p>
    <w:p w14:paraId="0A598584" w14:textId="77777777" w:rsidR="00A16D21" w:rsidRPr="00947ACE" w:rsidRDefault="00AD4BB9" w:rsidP="001C5B6B">
      <w:pPr>
        <w:numPr>
          <w:ilvl w:val="0"/>
          <w:numId w:val="49"/>
        </w:numPr>
        <w:spacing w:line="280" w:lineRule="exact"/>
        <w:jc w:val="both"/>
        <w:rPr>
          <w:sz w:val="22"/>
          <w:szCs w:val="22"/>
          <w:lang w:val="it-IT"/>
        </w:rPr>
      </w:pPr>
      <w:r w:rsidRPr="00947ACE">
        <w:rPr>
          <w:sz w:val="22"/>
          <w:szCs w:val="22"/>
          <w:lang w:val="it-IT"/>
        </w:rPr>
        <w:t>consapevole che non sono ammesse ulteriori varianti a</w:t>
      </w:r>
      <w:r w:rsidR="00106BBF" w:rsidRPr="00947ACE">
        <w:rPr>
          <w:sz w:val="22"/>
          <w:szCs w:val="22"/>
          <w:lang w:val="it-IT"/>
        </w:rPr>
        <w:t>l</w:t>
      </w:r>
      <w:r w:rsidRPr="00947ACE">
        <w:rPr>
          <w:sz w:val="22"/>
          <w:szCs w:val="22"/>
          <w:lang w:val="it-IT"/>
        </w:rPr>
        <w:t xml:space="preserve"> Capitolat</w:t>
      </w:r>
      <w:r w:rsidR="00106BBF" w:rsidRPr="00947ACE">
        <w:rPr>
          <w:sz w:val="22"/>
          <w:szCs w:val="22"/>
          <w:lang w:val="it-IT"/>
        </w:rPr>
        <w:t>o</w:t>
      </w:r>
      <w:r w:rsidRPr="00947ACE">
        <w:rPr>
          <w:sz w:val="22"/>
          <w:szCs w:val="22"/>
          <w:lang w:val="it-IT"/>
        </w:rPr>
        <w:t xml:space="preserve"> Special</w:t>
      </w:r>
      <w:r w:rsidR="00106BBF" w:rsidRPr="00947ACE">
        <w:rPr>
          <w:sz w:val="22"/>
          <w:szCs w:val="22"/>
          <w:lang w:val="it-IT"/>
        </w:rPr>
        <w:t>e</w:t>
      </w:r>
      <w:r w:rsidRPr="00947ACE">
        <w:rPr>
          <w:sz w:val="22"/>
          <w:szCs w:val="22"/>
          <w:lang w:val="it-IT"/>
        </w:rPr>
        <w:t xml:space="preserve"> d’Appalto (Polizza di Assicurazione), salvo l’eventuale accettazione della condizione contrattuale indicata come “Opzione migliorativa”;</w:t>
      </w:r>
    </w:p>
    <w:p w14:paraId="1D879C32" w14:textId="6071D732" w:rsidR="00AD4BB9" w:rsidRPr="00947ACE" w:rsidRDefault="00AD4BB9" w:rsidP="001C5B6B">
      <w:pPr>
        <w:numPr>
          <w:ilvl w:val="0"/>
          <w:numId w:val="49"/>
        </w:numPr>
        <w:spacing w:line="280" w:lineRule="exact"/>
        <w:jc w:val="both"/>
        <w:rPr>
          <w:sz w:val="22"/>
          <w:szCs w:val="22"/>
          <w:lang w:val="it-IT"/>
        </w:rPr>
      </w:pPr>
      <w:r w:rsidRPr="00947ACE">
        <w:rPr>
          <w:sz w:val="22"/>
          <w:szCs w:val="22"/>
          <w:lang w:val="it-IT"/>
        </w:rPr>
        <w:t>consapevole che sarà attribuito il punteggio tecnico in relazione al singolo sub parametro nel caso in cui venga barrata la casella “</w:t>
      </w:r>
      <w:r w:rsidR="007012EE" w:rsidRPr="00947ACE">
        <w:rPr>
          <w:sz w:val="22"/>
          <w:szCs w:val="22"/>
          <w:lang w:val="it-IT"/>
        </w:rPr>
        <w:t>Opzione migliorativa</w:t>
      </w:r>
      <w:r w:rsidRPr="00947ACE">
        <w:rPr>
          <w:sz w:val="22"/>
          <w:szCs w:val="22"/>
          <w:lang w:val="it-IT"/>
        </w:rPr>
        <w:t xml:space="preserve">”, in quanto l’impegno si intenderà come assunto. In tale ipotesi </w:t>
      </w:r>
      <w:r w:rsidRPr="00947ACE">
        <w:rPr>
          <w:sz w:val="22"/>
          <w:szCs w:val="22"/>
          <w:lang w:val="it-IT"/>
        </w:rPr>
        <w:lastRenderedPageBreak/>
        <w:t>l’Offerente dichiara di essere consapevole che s’intenderà confermata l’opzione migliorativa prevista dal Capitolato Speciale d’Appalto (Polizza di Assicurazione);</w:t>
      </w:r>
    </w:p>
    <w:p w14:paraId="767FFDC8" w14:textId="17AFD510" w:rsidR="00AD4BB9" w:rsidRPr="00947ACE" w:rsidRDefault="00AD4BB9" w:rsidP="00AD4BB9">
      <w:pPr>
        <w:numPr>
          <w:ilvl w:val="0"/>
          <w:numId w:val="49"/>
        </w:numPr>
        <w:spacing w:line="280" w:lineRule="exact"/>
        <w:jc w:val="both"/>
        <w:rPr>
          <w:sz w:val="22"/>
          <w:szCs w:val="22"/>
          <w:lang w:val="it-IT"/>
        </w:rPr>
      </w:pPr>
      <w:r w:rsidRPr="00947ACE">
        <w:rPr>
          <w:sz w:val="22"/>
          <w:szCs w:val="22"/>
          <w:lang w:val="it-IT"/>
        </w:rPr>
        <w:t>consapevole che non sarà attribuito alcun punteggio tecnico in relazione al singolo sub parametro nel caso in cui venga barrata la casella “</w:t>
      </w:r>
      <w:r w:rsidR="002E39A0" w:rsidRPr="00947ACE">
        <w:rPr>
          <w:sz w:val="22"/>
          <w:szCs w:val="22"/>
          <w:lang w:val="it-IT"/>
        </w:rPr>
        <w:t>Opzione base</w:t>
      </w:r>
      <w:r w:rsidRPr="00947ACE">
        <w:rPr>
          <w:sz w:val="22"/>
          <w:szCs w:val="22"/>
          <w:lang w:val="it-IT"/>
        </w:rPr>
        <w:t>” oppure non venga barrata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presente gara</w:t>
      </w:r>
    </w:p>
    <w:p w14:paraId="2737D6C5" w14:textId="2763BF18" w:rsidR="00106BBF" w:rsidRPr="00947ACE" w:rsidRDefault="00106BBF" w:rsidP="00106BBF">
      <w:pPr>
        <w:numPr>
          <w:ilvl w:val="0"/>
          <w:numId w:val="49"/>
        </w:numPr>
        <w:spacing w:line="280" w:lineRule="exact"/>
        <w:jc w:val="both"/>
        <w:rPr>
          <w:sz w:val="22"/>
          <w:szCs w:val="22"/>
          <w:lang w:val="it-IT"/>
        </w:rPr>
      </w:pPr>
      <w:r w:rsidRPr="00947ACE">
        <w:rPr>
          <w:sz w:val="22"/>
          <w:szCs w:val="22"/>
          <w:lang w:val="it-IT"/>
        </w:rPr>
        <w:t>consapevole che sarà attribuito il punteggio tecnico in relazione all’opzione migliorativa proposta tra quelle disponibili, ovvero 0 punti qualora confermata l’opzione base prevista dal Capitolato Speciale d’Appalto (Polizza di Assicurazione) in quanto requisito minimo a pena di esclusione previsto per la partecipazione alla presente gara</w:t>
      </w:r>
    </w:p>
    <w:p w14:paraId="6E7065A7" w14:textId="061D4F22" w:rsidR="00A16D21" w:rsidRPr="00947ACE" w:rsidRDefault="00A16D21" w:rsidP="00A16D21">
      <w:pPr>
        <w:pStyle w:val="Paragrafoelenco"/>
        <w:numPr>
          <w:ilvl w:val="0"/>
          <w:numId w:val="49"/>
        </w:numPr>
        <w:autoSpaceDE w:val="0"/>
        <w:autoSpaceDN w:val="0"/>
        <w:adjustRightInd w:val="0"/>
        <w:ind w:right="-1"/>
        <w:jc w:val="both"/>
        <w:rPr>
          <w:rFonts w:ascii="Times New Roman" w:hAnsi="Times New Roman"/>
        </w:rPr>
      </w:pPr>
      <w:r w:rsidRPr="00947ACE">
        <w:rPr>
          <w:rFonts w:ascii="Times New Roman" w:eastAsia="Times New Roman" w:hAnsi="Times New Roman"/>
        </w:rPr>
        <w:t>consapevole che In caso di mancata compilazione o di compilazione che non consenta di ricondurre con certezza la risposta ad una delle due caselle (ad esempio barrandole entrambe) non si procederà all’attribuzione del relativo punteggio</w:t>
      </w:r>
      <w:r w:rsidRPr="00947ACE">
        <w:rPr>
          <w:rFonts w:ascii="Times New Roman" w:hAnsi="Times New Roman"/>
          <w:sz w:val="20"/>
          <w:szCs w:val="20"/>
        </w:rPr>
        <w:t>.</w:t>
      </w:r>
    </w:p>
    <w:p w14:paraId="70E5F6A8" w14:textId="77777777" w:rsidR="00A313BB" w:rsidRPr="00947ACE" w:rsidRDefault="0095595F" w:rsidP="00606625">
      <w:pPr>
        <w:autoSpaceDE w:val="0"/>
        <w:autoSpaceDN w:val="0"/>
        <w:adjustRightInd w:val="0"/>
        <w:spacing w:before="120" w:after="120" w:line="360" w:lineRule="auto"/>
        <w:jc w:val="center"/>
        <w:rPr>
          <w:b/>
          <w:bCs/>
          <w:sz w:val="22"/>
          <w:szCs w:val="22"/>
          <w:lang w:val="it-IT"/>
        </w:rPr>
      </w:pPr>
      <w:r w:rsidRPr="00947ACE">
        <w:rPr>
          <w:b/>
          <w:bCs/>
          <w:sz w:val="22"/>
          <w:szCs w:val="22"/>
          <w:lang w:val="it-IT"/>
        </w:rPr>
        <w:t>PRESENTA LA SEGUENTE OFFERTA TECNICA</w:t>
      </w:r>
      <w:r w:rsidR="008E4177" w:rsidRPr="00947ACE">
        <w:rPr>
          <w:b/>
          <w:bCs/>
          <w:sz w:val="22"/>
          <w:szCs w:val="22"/>
          <w:lang w:val="it-IT"/>
        </w:rPr>
        <w:t xml:space="preserve"> (MASSIMO 70 PUNTI)</w:t>
      </w:r>
    </w:p>
    <w:p w14:paraId="413490C7" w14:textId="77777777" w:rsidR="00AD4BB9" w:rsidRPr="00947ACE" w:rsidRDefault="00AD4BB9" w:rsidP="00AD4BB9">
      <w:pPr>
        <w:autoSpaceDE w:val="0"/>
        <w:autoSpaceDN w:val="0"/>
        <w:adjustRightInd w:val="0"/>
        <w:spacing w:before="120" w:after="120" w:line="360" w:lineRule="auto"/>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Con riferimento a ciascuno dei sub parametri di seguito elencati, il concorrente presenta offerta con le seguenti modalità:</w:t>
      </w:r>
    </w:p>
    <w:p w14:paraId="18A304FA" w14:textId="00A5CEA2" w:rsidR="00AD4BB9" w:rsidRPr="00947ACE" w:rsidRDefault="00AD4BB9" w:rsidP="00303355">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rStyle w:val="BLOCKBOLD"/>
          <w:rFonts w:ascii="Times New Roman" w:hAnsi="Times New Roman"/>
          <w:bCs/>
          <w:iCs/>
          <w:caps w:val="0"/>
          <w:sz w:val="22"/>
          <w:szCs w:val="22"/>
          <w:lang w:val="it-IT"/>
        </w:rPr>
      </w:pPr>
      <w:r w:rsidRPr="00947ACE">
        <w:rPr>
          <w:b/>
          <w:bCs/>
          <w:iCs/>
          <w:sz w:val="22"/>
          <w:szCs w:val="22"/>
          <w:lang w:val="it-IT"/>
        </w:rPr>
        <w:t>CONDIZIONI DI GARANZIA (</w:t>
      </w:r>
      <w:r w:rsidR="007012EE" w:rsidRPr="00947ACE">
        <w:rPr>
          <w:b/>
          <w:bCs/>
          <w:iCs/>
          <w:sz w:val="22"/>
          <w:szCs w:val="22"/>
          <w:lang w:val="it-IT"/>
        </w:rPr>
        <w:t>A1 - A2 - A3</w:t>
      </w:r>
      <w:r w:rsidR="00303355" w:rsidRPr="00947ACE">
        <w:rPr>
          <w:b/>
          <w:bCs/>
          <w:iCs/>
          <w:sz w:val="22"/>
          <w:szCs w:val="22"/>
          <w:lang w:val="it-IT"/>
        </w:rPr>
        <w:t>)</w:t>
      </w:r>
      <w:r w:rsidRPr="00947ACE">
        <w:rPr>
          <w:b/>
          <w:bCs/>
          <w:iCs/>
          <w:sz w:val="22"/>
          <w:szCs w:val="22"/>
          <w:lang w:val="it-IT"/>
        </w:rPr>
        <w:t xml:space="preserve"> </w:t>
      </w:r>
      <w:r w:rsidRPr="00947ACE">
        <w:rPr>
          <w:b/>
          <w:bCs/>
          <w:i/>
          <w:iCs/>
          <w:sz w:val="22"/>
          <w:szCs w:val="22"/>
          <w:lang w:val="it-IT"/>
        </w:rPr>
        <w:t xml:space="preserve">(MAX </w:t>
      </w:r>
      <w:r w:rsidR="00303355" w:rsidRPr="00947ACE">
        <w:rPr>
          <w:b/>
          <w:bCs/>
          <w:i/>
          <w:iCs/>
          <w:sz w:val="22"/>
          <w:szCs w:val="22"/>
          <w:lang w:val="it-IT"/>
        </w:rPr>
        <w:t>2</w:t>
      </w:r>
      <w:r w:rsidR="00513638" w:rsidRPr="00947ACE">
        <w:rPr>
          <w:b/>
          <w:bCs/>
          <w:i/>
          <w:iCs/>
          <w:sz w:val="22"/>
          <w:szCs w:val="22"/>
          <w:lang w:val="it-IT"/>
        </w:rPr>
        <w:t>0</w:t>
      </w:r>
      <w:r w:rsidRPr="00947ACE">
        <w:rPr>
          <w:b/>
          <w:bCs/>
          <w:i/>
          <w:iCs/>
          <w:sz w:val="22"/>
          <w:szCs w:val="22"/>
          <w:lang w:val="it-IT"/>
        </w:rPr>
        <w:t xml:space="preserve"> PUNTI)</w:t>
      </w:r>
    </w:p>
    <w:p w14:paraId="4102A6C3" w14:textId="77777777" w:rsidR="00AD4BB9" w:rsidRPr="00947ACE" w:rsidRDefault="00AD4BB9" w:rsidP="00AD4BB9">
      <w:pPr>
        <w:rPr>
          <w:sz w:val="22"/>
          <w:szCs w:val="22"/>
          <w:lang w:val="it-IT"/>
        </w:rPr>
      </w:pPr>
    </w:p>
    <w:tbl>
      <w:tblPr>
        <w:tblW w:w="103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85"/>
        <w:gridCol w:w="3602"/>
        <w:gridCol w:w="2764"/>
        <w:gridCol w:w="1168"/>
        <w:gridCol w:w="1170"/>
      </w:tblGrid>
      <w:tr w:rsidR="00AD4BB9" w:rsidRPr="00947ACE" w14:paraId="71EBF1F3" w14:textId="77777777" w:rsidTr="002849C3">
        <w:trPr>
          <w:trHeight w:val="1584"/>
          <w:tblHeader/>
          <w:jc w:val="center"/>
        </w:trPr>
        <w:tc>
          <w:tcPr>
            <w:tcW w:w="16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1DC46CAB" w14:textId="77777777" w:rsidR="00AD4BB9" w:rsidRPr="00947ACE" w:rsidRDefault="00AD4BB9" w:rsidP="00FF5C91">
            <w:pPr>
              <w:autoSpaceDE w:val="0"/>
              <w:autoSpaceDN w:val="0"/>
              <w:spacing w:after="120"/>
              <w:jc w:val="center"/>
              <w:rPr>
                <w:b/>
                <w:bCs/>
                <w:sz w:val="22"/>
                <w:szCs w:val="22"/>
              </w:rPr>
            </w:pPr>
            <w:r w:rsidRPr="00947ACE">
              <w:rPr>
                <w:b/>
                <w:bCs/>
                <w:sz w:val="22"/>
                <w:szCs w:val="22"/>
              </w:rPr>
              <w:t>SUB PARAMETRO</w:t>
            </w:r>
          </w:p>
        </w:tc>
        <w:tc>
          <w:tcPr>
            <w:tcW w:w="3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9B032" w14:textId="77777777" w:rsidR="00AD4BB9" w:rsidRPr="00947ACE" w:rsidRDefault="00AD4BB9" w:rsidP="00FF5C91">
            <w:pPr>
              <w:autoSpaceDE w:val="0"/>
              <w:autoSpaceDN w:val="0"/>
              <w:spacing w:after="120"/>
              <w:jc w:val="center"/>
              <w:rPr>
                <w:b/>
                <w:bCs/>
                <w:sz w:val="22"/>
                <w:szCs w:val="22"/>
                <w:lang w:val="it-IT"/>
              </w:rPr>
            </w:pPr>
            <w:r w:rsidRPr="00947ACE">
              <w:rPr>
                <w:b/>
                <w:bCs/>
                <w:sz w:val="22"/>
                <w:szCs w:val="22"/>
                <w:lang w:val="it-IT"/>
              </w:rPr>
              <w:t>DESCRIZIONE</w:t>
            </w:r>
          </w:p>
        </w:tc>
        <w:tc>
          <w:tcPr>
            <w:tcW w:w="276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4391A00" w14:textId="77777777" w:rsidR="00AD4BB9" w:rsidRPr="00947ACE" w:rsidRDefault="00AD4BB9" w:rsidP="00FF5C91">
            <w:pPr>
              <w:autoSpaceDE w:val="0"/>
              <w:autoSpaceDN w:val="0"/>
              <w:spacing w:after="120"/>
              <w:jc w:val="center"/>
              <w:rPr>
                <w:b/>
                <w:bCs/>
                <w:sz w:val="22"/>
                <w:szCs w:val="22"/>
                <w:lang w:val="it-IT"/>
              </w:rPr>
            </w:pPr>
            <w:r w:rsidRPr="00947ACE">
              <w:rPr>
                <w:b/>
                <w:sz w:val="22"/>
                <w:szCs w:val="22"/>
                <w:lang w:val="it-IT"/>
              </w:rPr>
              <w:t>PUNTEGGIO ASSEGNATO</w:t>
            </w:r>
          </w:p>
        </w:tc>
        <w:tc>
          <w:tcPr>
            <w:tcW w:w="2338" w:type="dxa"/>
            <w:gridSpan w:val="2"/>
            <w:tcBorders>
              <w:top w:val="single" w:sz="4" w:space="0" w:color="auto"/>
              <w:left w:val="single" w:sz="4" w:space="0" w:color="auto"/>
              <w:bottom w:val="single" w:sz="4" w:space="0" w:color="auto"/>
              <w:right w:val="single" w:sz="4" w:space="0" w:color="auto"/>
            </w:tcBorders>
            <w:shd w:val="clear" w:color="auto" w:fill="D9D9D9"/>
          </w:tcPr>
          <w:p w14:paraId="3DA72F71" w14:textId="77777777" w:rsidR="00AD4BB9" w:rsidRPr="00947ACE" w:rsidRDefault="00AD4BB9" w:rsidP="00FF5C91">
            <w:pPr>
              <w:autoSpaceDE w:val="0"/>
              <w:autoSpaceDN w:val="0"/>
              <w:jc w:val="center"/>
              <w:rPr>
                <w:b/>
                <w:sz w:val="22"/>
                <w:szCs w:val="22"/>
                <w:lang w:val="it-IT"/>
              </w:rPr>
            </w:pPr>
            <w:r w:rsidRPr="00947ACE">
              <w:rPr>
                <w:b/>
                <w:sz w:val="22"/>
                <w:szCs w:val="22"/>
                <w:lang w:val="it-IT"/>
              </w:rPr>
              <w:t>OFFERTA DAL CONCORRENTE PER L’OPZIONE MIGLIORATIVA</w:t>
            </w:r>
          </w:p>
          <w:p w14:paraId="51D3D9CB" w14:textId="77777777" w:rsidR="00AD4BB9" w:rsidRPr="00947ACE" w:rsidRDefault="00AD4BB9" w:rsidP="00FF5C91">
            <w:pPr>
              <w:autoSpaceDE w:val="0"/>
              <w:autoSpaceDN w:val="0"/>
              <w:jc w:val="center"/>
              <w:rPr>
                <w:b/>
                <w:sz w:val="22"/>
                <w:szCs w:val="22"/>
                <w:vertAlign w:val="superscript"/>
                <w:lang w:val="it-IT"/>
              </w:rPr>
            </w:pPr>
            <w:r w:rsidRPr="00947ACE">
              <w:rPr>
                <w:b/>
                <w:sz w:val="22"/>
                <w:szCs w:val="22"/>
                <w:vertAlign w:val="superscript"/>
                <w:lang w:val="it-IT"/>
              </w:rPr>
              <w:t>(indicare con un segno di spunta</w:t>
            </w:r>
          </w:p>
          <w:p w14:paraId="47570F1F" w14:textId="77777777" w:rsidR="00AD4BB9" w:rsidRPr="00947ACE" w:rsidRDefault="00AD4BB9" w:rsidP="00FF5C91">
            <w:pPr>
              <w:autoSpaceDE w:val="0"/>
              <w:autoSpaceDN w:val="0"/>
              <w:jc w:val="center"/>
              <w:rPr>
                <w:b/>
                <w:sz w:val="22"/>
                <w:szCs w:val="22"/>
                <w:lang w:val="it-IT"/>
              </w:rPr>
            </w:pPr>
            <w:r w:rsidRPr="00947ACE">
              <w:rPr>
                <w:b/>
                <w:sz w:val="22"/>
                <w:szCs w:val="22"/>
                <w:vertAlign w:val="superscript"/>
                <w:lang w:val="it-IT"/>
              </w:rPr>
              <w:t xml:space="preserve"> l’opzione scelta)</w:t>
            </w:r>
          </w:p>
        </w:tc>
      </w:tr>
      <w:tr w:rsidR="00C53026" w:rsidRPr="00947ACE" w14:paraId="62F9626B" w14:textId="77777777" w:rsidTr="00A66009">
        <w:trPr>
          <w:trHeight w:val="1818"/>
          <w:jc w:val="center"/>
        </w:trPr>
        <w:tc>
          <w:tcPr>
            <w:tcW w:w="168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149F2E4" w14:textId="77777777" w:rsidR="007012EE" w:rsidRPr="00947ACE" w:rsidRDefault="007012EE" w:rsidP="001C18D1">
            <w:pPr>
              <w:spacing w:after="120"/>
              <w:jc w:val="center"/>
              <w:rPr>
                <w:sz w:val="22"/>
                <w:szCs w:val="22"/>
                <w:lang w:val="it-IT"/>
              </w:rPr>
            </w:pPr>
            <w:r w:rsidRPr="00947ACE">
              <w:rPr>
                <w:sz w:val="22"/>
                <w:szCs w:val="22"/>
                <w:lang w:val="it-IT"/>
              </w:rPr>
              <w:t>A1</w:t>
            </w:r>
          </w:p>
          <w:p w14:paraId="03ADE161" w14:textId="28954377" w:rsidR="00C53026" w:rsidRPr="00947ACE" w:rsidRDefault="00C53026" w:rsidP="001C18D1">
            <w:pPr>
              <w:spacing w:after="120"/>
              <w:jc w:val="center"/>
              <w:rPr>
                <w:sz w:val="22"/>
                <w:szCs w:val="22"/>
                <w:lang w:val="it-IT"/>
              </w:rPr>
            </w:pPr>
            <w:r w:rsidRPr="00947ACE">
              <w:rPr>
                <w:sz w:val="22"/>
                <w:szCs w:val="22"/>
                <w:lang w:val="it-IT"/>
              </w:rPr>
              <w:t xml:space="preserve">Condizioni di garanzia </w:t>
            </w:r>
          </w:p>
        </w:tc>
        <w:tc>
          <w:tcPr>
            <w:tcW w:w="3602" w:type="dxa"/>
            <w:tcBorders>
              <w:top w:val="single" w:sz="4" w:space="0" w:color="auto"/>
              <w:bottom w:val="single" w:sz="4" w:space="0" w:color="auto"/>
            </w:tcBorders>
            <w:shd w:val="clear" w:color="auto" w:fill="FFFFFF"/>
            <w:vAlign w:val="center"/>
          </w:tcPr>
          <w:p w14:paraId="40AC0182" w14:textId="46F2E457" w:rsidR="00C53026" w:rsidRPr="00947ACE" w:rsidRDefault="002849C3" w:rsidP="00034096">
            <w:pPr>
              <w:autoSpaceDE w:val="0"/>
              <w:autoSpaceDN w:val="0"/>
              <w:spacing w:after="120"/>
              <w:jc w:val="center"/>
              <w:rPr>
                <w:sz w:val="22"/>
                <w:szCs w:val="22"/>
                <w:lang w:val="it-IT"/>
              </w:rPr>
            </w:pPr>
            <w:r w:rsidRPr="00947ACE">
              <w:rPr>
                <w:sz w:val="22"/>
                <w:szCs w:val="22"/>
                <w:lang w:val="it-IT"/>
              </w:rPr>
              <w:t>Sez. 2 Art.6</w:t>
            </w:r>
            <w:r w:rsidR="00A70671" w:rsidRPr="00947ACE">
              <w:rPr>
                <w:sz w:val="22"/>
                <w:szCs w:val="22"/>
                <w:lang w:val="it-IT"/>
              </w:rPr>
              <w:t xml:space="preserve"> - </w:t>
            </w:r>
            <w:r w:rsidR="00C53026" w:rsidRPr="00947ACE">
              <w:rPr>
                <w:sz w:val="22"/>
                <w:szCs w:val="22"/>
                <w:lang w:val="it-IT"/>
              </w:rPr>
              <w:t>“Recesso per sinistro</w:t>
            </w:r>
            <w:r w:rsidR="00947ACE">
              <w:rPr>
                <w:sz w:val="22"/>
                <w:szCs w:val="22"/>
                <w:lang w:val="it-IT"/>
              </w:rPr>
              <w:t>”</w:t>
            </w:r>
          </w:p>
        </w:tc>
        <w:tc>
          <w:tcPr>
            <w:tcW w:w="2764" w:type="dxa"/>
            <w:tcBorders>
              <w:top w:val="single" w:sz="4" w:space="0" w:color="auto"/>
              <w:bottom w:val="single" w:sz="4" w:space="0" w:color="auto"/>
            </w:tcBorders>
            <w:shd w:val="clear" w:color="auto" w:fill="FFFFFF"/>
            <w:tcMar>
              <w:top w:w="0" w:type="dxa"/>
              <w:left w:w="108" w:type="dxa"/>
              <w:bottom w:w="0" w:type="dxa"/>
              <w:right w:w="108" w:type="dxa"/>
            </w:tcMar>
          </w:tcPr>
          <w:p w14:paraId="21C2A5B4" w14:textId="3E2B59C7" w:rsidR="00C53026" w:rsidRPr="00947ACE" w:rsidRDefault="00513638" w:rsidP="007A4E5A">
            <w:pPr>
              <w:spacing w:after="120"/>
              <w:rPr>
                <w:sz w:val="22"/>
                <w:szCs w:val="22"/>
                <w:vertAlign w:val="superscript"/>
                <w:lang w:val="it-IT"/>
              </w:rPr>
            </w:pPr>
            <w:r w:rsidRPr="00947ACE">
              <w:rPr>
                <w:sz w:val="22"/>
                <w:szCs w:val="22"/>
                <w:lang w:val="it-IT"/>
              </w:rPr>
              <w:t>10</w:t>
            </w:r>
            <w:r w:rsidR="00C53026" w:rsidRPr="00947ACE">
              <w:rPr>
                <w:sz w:val="22"/>
                <w:szCs w:val="22"/>
                <w:lang w:val="it-IT"/>
              </w:rPr>
              <w:t xml:space="preserve"> punti nel caso in cui la condizione sia stata offerta </w:t>
            </w:r>
            <w:r w:rsidR="00C53026" w:rsidRPr="00947ACE">
              <w:rPr>
                <w:i/>
                <w:sz w:val="22"/>
                <w:szCs w:val="22"/>
                <w:vertAlign w:val="superscript"/>
                <w:lang w:val="it-IT"/>
              </w:rPr>
              <w:t>(Opzione Migliorativa)</w:t>
            </w:r>
          </w:p>
          <w:p w14:paraId="435BBD30" w14:textId="77777777" w:rsidR="00C53026" w:rsidRPr="00947ACE" w:rsidRDefault="00C53026" w:rsidP="007A4E5A">
            <w:pPr>
              <w:spacing w:after="120"/>
              <w:rPr>
                <w:sz w:val="22"/>
                <w:szCs w:val="22"/>
                <w:lang w:val="it-IT"/>
              </w:rPr>
            </w:pPr>
            <w:r w:rsidRPr="00947ACE">
              <w:rPr>
                <w:sz w:val="22"/>
                <w:szCs w:val="22"/>
                <w:lang w:val="it-IT"/>
              </w:rPr>
              <w:t xml:space="preserve">0 punti nel caso in cui la condizione non sia stata offerta </w:t>
            </w:r>
            <w:r w:rsidRPr="00947ACE">
              <w:rPr>
                <w:i/>
                <w:sz w:val="22"/>
                <w:szCs w:val="22"/>
                <w:vertAlign w:val="superscript"/>
                <w:lang w:val="it-IT"/>
              </w:rPr>
              <w:t>(Opzione Base)</w:t>
            </w:r>
          </w:p>
        </w:tc>
        <w:tc>
          <w:tcPr>
            <w:tcW w:w="1168" w:type="dxa"/>
            <w:tcBorders>
              <w:top w:val="single" w:sz="4" w:space="0" w:color="auto"/>
              <w:bottom w:val="single" w:sz="4" w:space="0" w:color="auto"/>
            </w:tcBorders>
            <w:shd w:val="clear" w:color="auto" w:fill="FFFFFF"/>
            <w:vAlign w:val="center"/>
          </w:tcPr>
          <w:p w14:paraId="3175A943" w14:textId="25F6CC26" w:rsidR="00C53026" w:rsidRPr="00947ACE" w:rsidRDefault="00110291" w:rsidP="007A4E5A">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migliorativa</w:t>
            </w:r>
          </w:p>
          <w:p w14:paraId="09EB4C7B" w14:textId="77777777" w:rsidR="00C53026" w:rsidRPr="00947ACE" w:rsidRDefault="00C53026" w:rsidP="007A4E5A">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c>
          <w:tcPr>
            <w:tcW w:w="1170" w:type="dxa"/>
            <w:tcBorders>
              <w:top w:val="single" w:sz="4" w:space="0" w:color="auto"/>
              <w:bottom w:val="single" w:sz="4" w:space="0" w:color="auto"/>
              <w:right w:val="single" w:sz="4" w:space="0" w:color="auto"/>
            </w:tcBorders>
            <w:shd w:val="clear" w:color="auto" w:fill="FFFFFF"/>
            <w:vAlign w:val="center"/>
          </w:tcPr>
          <w:p w14:paraId="22E1B5B2" w14:textId="35D3BDDD" w:rsidR="00C53026" w:rsidRPr="00947ACE" w:rsidRDefault="00110291" w:rsidP="007A4E5A">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base</w:t>
            </w:r>
          </w:p>
          <w:p w14:paraId="48042B2E" w14:textId="77777777" w:rsidR="00C53026" w:rsidRPr="00947ACE" w:rsidRDefault="00C53026" w:rsidP="007A4E5A">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r>
      <w:tr w:rsidR="00110291" w:rsidRPr="00947ACE" w14:paraId="59BE4F07" w14:textId="77777777" w:rsidTr="00A66009">
        <w:trPr>
          <w:trHeight w:val="1818"/>
          <w:jc w:val="center"/>
        </w:trPr>
        <w:tc>
          <w:tcPr>
            <w:tcW w:w="168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3332DCC" w14:textId="77777777" w:rsidR="007012EE" w:rsidRPr="00947ACE" w:rsidRDefault="007012EE" w:rsidP="00110291">
            <w:pPr>
              <w:spacing w:after="120"/>
              <w:jc w:val="center"/>
              <w:rPr>
                <w:sz w:val="22"/>
                <w:szCs w:val="22"/>
                <w:lang w:val="it-IT"/>
              </w:rPr>
            </w:pPr>
            <w:r w:rsidRPr="00947ACE">
              <w:rPr>
                <w:sz w:val="22"/>
                <w:szCs w:val="22"/>
                <w:lang w:val="it-IT"/>
              </w:rPr>
              <w:lastRenderedPageBreak/>
              <w:t>A2</w:t>
            </w:r>
          </w:p>
          <w:p w14:paraId="470C66C2" w14:textId="09992528" w:rsidR="00110291" w:rsidRPr="00947ACE" w:rsidRDefault="00110291" w:rsidP="00110291">
            <w:pPr>
              <w:spacing w:after="120"/>
              <w:jc w:val="center"/>
              <w:rPr>
                <w:sz w:val="22"/>
                <w:szCs w:val="22"/>
                <w:lang w:val="it-IT"/>
              </w:rPr>
            </w:pPr>
            <w:r w:rsidRPr="00947ACE">
              <w:rPr>
                <w:sz w:val="22"/>
                <w:szCs w:val="22"/>
                <w:lang w:val="it-IT"/>
              </w:rPr>
              <w:t>Condizioni di garanzia</w:t>
            </w:r>
          </w:p>
        </w:tc>
        <w:tc>
          <w:tcPr>
            <w:tcW w:w="3602" w:type="dxa"/>
            <w:tcBorders>
              <w:top w:val="single" w:sz="4" w:space="0" w:color="auto"/>
              <w:bottom w:val="single" w:sz="4" w:space="0" w:color="auto"/>
            </w:tcBorders>
            <w:shd w:val="clear" w:color="auto" w:fill="FFFFFF"/>
            <w:vAlign w:val="center"/>
          </w:tcPr>
          <w:p w14:paraId="41CF0DA6" w14:textId="0EE48047" w:rsidR="00110291" w:rsidRPr="00947ACE" w:rsidRDefault="00110291" w:rsidP="00110291">
            <w:pPr>
              <w:autoSpaceDE w:val="0"/>
              <w:autoSpaceDN w:val="0"/>
              <w:spacing w:after="120"/>
              <w:jc w:val="center"/>
              <w:rPr>
                <w:sz w:val="22"/>
                <w:szCs w:val="22"/>
                <w:lang w:val="it-IT"/>
              </w:rPr>
            </w:pPr>
            <w:r w:rsidRPr="00947ACE">
              <w:rPr>
                <w:sz w:val="22"/>
                <w:szCs w:val="22"/>
                <w:lang w:val="it-IT"/>
              </w:rPr>
              <w:t>Sez. 3 Art.3 – lettera s) “Esclusioni</w:t>
            </w:r>
            <w:r w:rsidR="00947ACE">
              <w:rPr>
                <w:sz w:val="22"/>
                <w:szCs w:val="22"/>
                <w:lang w:val="it-IT"/>
              </w:rPr>
              <w:t>”</w:t>
            </w:r>
            <w:r w:rsidRPr="00947ACE">
              <w:rPr>
                <w:sz w:val="22"/>
                <w:szCs w:val="22"/>
                <w:lang w:val="it-IT"/>
              </w:rPr>
              <w:t xml:space="preserve"> </w:t>
            </w:r>
          </w:p>
        </w:tc>
        <w:tc>
          <w:tcPr>
            <w:tcW w:w="2764" w:type="dxa"/>
            <w:tcBorders>
              <w:top w:val="single" w:sz="4" w:space="0" w:color="auto"/>
              <w:bottom w:val="single" w:sz="4" w:space="0" w:color="auto"/>
            </w:tcBorders>
            <w:shd w:val="clear" w:color="auto" w:fill="FFFFFF"/>
            <w:tcMar>
              <w:top w:w="0" w:type="dxa"/>
              <w:left w:w="108" w:type="dxa"/>
              <w:bottom w:w="0" w:type="dxa"/>
              <w:right w:w="108" w:type="dxa"/>
            </w:tcMar>
          </w:tcPr>
          <w:p w14:paraId="34C9D048" w14:textId="254FCCC6" w:rsidR="00110291" w:rsidRPr="00947ACE" w:rsidRDefault="00110291" w:rsidP="00110291">
            <w:pPr>
              <w:spacing w:after="120"/>
              <w:rPr>
                <w:sz w:val="22"/>
                <w:szCs w:val="22"/>
                <w:vertAlign w:val="superscript"/>
                <w:lang w:val="it-IT"/>
              </w:rPr>
            </w:pPr>
            <w:r w:rsidRPr="00947ACE">
              <w:rPr>
                <w:sz w:val="22"/>
                <w:szCs w:val="22"/>
                <w:lang w:val="it-IT"/>
              </w:rPr>
              <w:t xml:space="preserve">5 punti nel caso in cui venga abrogata l’esclusione </w:t>
            </w:r>
            <w:r w:rsidRPr="00947ACE">
              <w:rPr>
                <w:i/>
                <w:sz w:val="22"/>
                <w:szCs w:val="22"/>
                <w:vertAlign w:val="superscript"/>
                <w:lang w:val="it-IT"/>
              </w:rPr>
              <w:t>(Opzione Migliorativa)</w:t>
            </w:r>
          </w:p>
          <w:p w14:paraId="3F4B65BB" w14:textId="40D5FA49" w:rsidR="00110291" w:rsidRPr="00947ACE" w:rsidRDefault="00110291" w:rsidP="00110291">
            <w:pPr>
              <w:spacing w:after="120"/>
              <w:rPr>
                <w:sz w:val="22"/>
                <w:szCs w:val="22"/>
                <w:lang w:val="it-IT"/>
              </w:rPr>
            </w:pPr>
            <w:r w:rsidRPr="00947ACE">
              <w:rPr>
                <w:sz w:val="22"/>
                <w:szCs w:val="22"/>
                <w:lang w:val="it-IT"/>
              </w:rPr>
              <w:t xml:space="preserve">0 punti nel caso in non venga abrogata l’esclusione </w:t>
            </w:r>
            <w:r w:rsidRPr="00947ACE">
              <w:rPr>
                <w:i/>
                <w:sz w:val="22"/>
                <w:szCs w:val="22"/>
                <w:vertAlign w:val="superscript"/>
                <w:lang w:val="it-IT"/>
              </w:rPr>
              <w:t>(Opzione Base)</w:t>
            </w:r>
          </w:p>
        </w:tc>
        <w:tc>
          <w:tcPr>
            <w:tcW w:w="1168" w:type="dxa"/>
            <w:tcBorders>
              <w:top w:val="single" w:sz="4" w:space="0" w:color="auto"/>
              <w:bottom w:val="single" w:sz="4" w:space="0" w:color="auto"/>
            </w:tcBorders>
            <w:shd w:val="clear" w:color="auto" w:fill="FFFFFF"/>
            <w:vAlign w:val="center"/>
          </w:tcPr>
          <w:p w14:paraId="7A255F98" w14:textId="641787F8"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migliorativa</w:t>
            </w:r>
          </w:p>
          <w:p w14:paraId="4A8A9B43" w14:textId="06D14B06"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c>
          <w:tcPr>
            <w:tcW w:w="1170" w:type="dxa"/>
            <w:tcBorders>
              <w:top w:val="single" w:sz="4" w:space="0" w:color="auto"/>
              <w:bottom w:val="single" w:sz="4" w:space="0" w:color="auto"/>
              <w:right w:val="single" w:sz="4" w:space="0" w:color="auto"/>
            </w:tcBorders>
            <w:shd w:val="clear" w:color="auto" w:fill="FFFFFF"/>
            <w:vAlign w:val="center"/>
          </w:tcPr>
          <w:p w14:paraId="48E3E6AB" w14:textId="77777777"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base</w:t>
            </w:r>
          </w:p>
          <w:p w14:paraId="42733B7F" w14:textId="6A14FB38"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r>
      <w:tr w:rsidR="00110291" w:rsidRPr="00947ACE" w14:paraId="77F16B6A" w14:textId="77777777" w:rsidTr="00A66009">
        <w:trPr>
          <w:trHeight w:val="1818"/>
          <w:jc w:val="center"/>
        </w:trPr>
        <w:tc>
          <w:tcPr>
            <w:tcW w:w="1685"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BE5B656" w14:textId="77777777" w:rsidR="007012EE" w:rsidRPr="00947ACE" w:rsidRDefault="007012EE" w:rsidP="00110291">
            <w:pPr>
              <w:spacing w:after="120"/>
              <w:jc w:val="center"/>
              <w:rPr>
                <w:sz w:val="22"/>
                <w:szCs w:val="22"/>
                <w:lang w:val="it-IT"/>
              </w:rPr>
            </w:pPr>
            <w:r w:rsidRPr="00947ACE">
              <w:rPr>
                <w:sz w:val="22"/>
                <w:szCs w:val="22"/>
                <w:lang w:val="it-IT"/>
              </w:rPr>
              <w:t>A3</w:t>
            </w:r>
          </w:p>
          <w:p w14:paraId="6ABB5797" w14:textId="0979B179" w:rsidR="00110291" w:rsidRPr="00947ACE" w:rsidRDefault="00110291" w:rsidP="00110291">
            <w:pPr>
              <w:spacing w:after="120"/>
              <w:jc w:val="center"/>
              <w:rPr>
                <w:sz w:val="22"/>
                <w:szCs w:val="22"/>
                <w:lang w:val="it-IT"/>
              </w:rPr>
            </w:pPr>
            <w:r w:rsidRPr="00947ACE">
              <w:rPr>
                <w:sz w:val="22"/>
                <w:szCs w:val="22"/>
                <w:lang w:val="it-IT"/>
              </w:rPr>
              <w:t>Condizioni di garanzia</w:t>
            </w:r>
          </w:p>
        </w:tc>
        <w:tc>
          <w:tcPr>
            <w:tcW w:w="3602" w:type="dxa"/>
            <w:tcBorders>
              <w:top w:val="single" w:sz="4" w:space="0" w:color="auto"/>
              <w:bottom w:val="single" w:sz="4" w:space="0" w:color="auto"/>
            </w:tcBorders>
            <w:shd w:val="clear" w:color="auto" w:fill="FFFFFF"/>
            <w:vAlign w:val="center"/>
          </w:tcPr>
          <w:p w14:paraId="301C2E59" w14:textId="335F04D1" w:rsidR="00110291" w:rsidRPr="00947ACE" w:rsidRDefault="00110291" w:rsidP="00110291">
            <w:pPr>
              <w:autoSpaceDE w:val="0"/>
              <w:autoSpaceDN w:val="0"/>
              <w:spacing w:after="120"/>
              <w:jc w:val="center"/>
              <w:rPr>
                <w:sz w:val="22"/>
                <w:szCs w:val="22"/>
                <w:lang w:val="it-IT"/>
              </w:rPr>
            </w:pPr>
            <w:r w:rsidRPr="00947ACE">
              <w:rPr>
                <w:sz w:val="22"/>
                <w:szCs w:val="22"/>
                <w:lang w:val="it-IT"/>
              </w:rPr>
              <w:t>Sez. 5 Art.3 – lettera h) “Esclusioni</w:t>
            </w:r>
            <w:r w:rsidR="00947ACE">
              <w:rPr>
                <w:sz w:val="22"/>
                <w:szCs w:val="22"/>
                <w:lang w:val="it-IT"/>
              </w:rPr>
              <w:t>”</w:t>
            </w:r>
            <w:r w:rsidRPr="00947ACE">
              <w:rPr>
                <w:sz w:val="22"/>
                <w:szCs w:val="22"/>
                <w:lang w:val="it-IT"/>
              </w:rPr>
              <w:t xml:space="preserve"> </w:t>
            </w:r>
          </w:p>
        </w:tc>
        <w:tc>
          <w:tcPr>
            <w:tcW w:w="2764" w:type="dxa"/>
            <w:tcBorders>
              <w:top w:val="single" w:sz="4" w:space="0" w:color="auto"/>
              <w:bottom w:val="single" w:sz="4" w:space="0" w:color="auto"/>
            </w:tcBorders>
            <w:shd w:val="clear" w:color="auto" w:fill="FFFFFF"/>
            <w:tcMar>
              <w:top w:w="0" w:type="dxa"/>
              <w:left w:w="108" w:type="dxa"/>
              <w:bottom w:w="0" w:type="dxa"/>
              <w:right w:w="108" w:type="dxa"/>
            </w:tcMar>
          </w:tcPr>
          <w:p w14:paraId="61C8F5B0" w14:textId="77777777" w:rsidR="00110291" w:rsidRPr="00947ACE" w:rsidRDefault="00110291" w:rsidP="00110291">
            <w:pPr>
              <w:spacing w:after="120"/>
              <w:rPr>
                <w:sz w:val="22"/>
                <w:szCs w:val="22"/>
                <w:vertAlign w:val="superscript"/>
                <w:lang w:val="it-IT"/>
              </w:rPr>
            </w:pPr>
            <w:r w:rsidRPr="00947ACE">
              <w:rPr>
                <w:sz w:val="22"/>
                <w:szCs w:val="22"/>
                <w:lang w:val="it-IT"/>
              </w:rPr>
              <w:t xml:space="preserve">5 punti nel caso in cui venga abrogata l’esclusione </w:t>
            </w:r>
            <w:r w:rsidRPr="00947ACE">
              <w:rPr>
                <w:i/>
                <w:sz w:val="22"/>
                <w:szCs w:val="22"/>
                <w:vertAlign w:val="superscript"/>
                <w:lang w:val="it-IT"/>
              </w:rPr>
              <w:t>(Opzione Migliorativa)</w:t>
            </w:r>
          </w:p>
          <w:p w14:paraId="442AD4CA" w14:textId="75865BF8" w:rsidR="00110291" w:rsidRPr="00947ACE" w:rsidRDefault="00110291" w:rsidP="00110291">
            <w:pPr>
              <w:spacing w:after="120"/>
              <w:rPr>
                <w:sz w:val="22"/>
                <w:szCs w:val="22"/>
                <w:lang w:val="it-IT"/>
              </w:rPr>
            </w:pPr>
            <w:r w:rsidRPr="00947ACE">
              <w:rPr>
                <w:sz w:val="22"/>
                <w:szCs w:val="22"/>
                <w:lang w:val="it-IT"/>
              </w:rPr>
              <w:t xml:space="preserve">0 punti nel caso in non venga abrogata l’esclusione </w:t>
            </w:r>
            <w:r w:rsidRPr="00947ACE">
              <w:rPr>
                <w:i/>
                <w:sz w:val="22"/>
                <w:szCs w:val="22"/>
                <w:vertAlign w:val="superscript"/>
                <w:lang w:val="it-IT"/>
              </w:rPr>
              <w:t>(Opzione Base)</w:t>
            </w:r>
          </w:p>
        </w:tc>
        <w:tc>
          <w:tcPr>
            <w:tcW w:w="1168" w:type="dxa"/>
            <w:tcBorders>
              <w:top w:val="single" w:sz="4" w:space="0" w:color="auto"/>
              <w:bottom w:val="single" w:sz="4" w:space="0" w:color="auto"/>
            </w:tcBorders>
            <w:shd w:val="clear" w:color="auto" w:fill="FFFFFF"/>
            <w:vAlign w:val="center"/>
          </w:tcPr>
          <w:p w14:paraId="2B00199C" w14:textId="77777777"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migliorativa</w:t>
            </w:r>
          </w:p>
          <w:p w14:paraId="3A3215A9" w14:textId="3DE350EF"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c>
          <w:tcPr>
            <w:tcW w:w="1170" w:type="dxa"/>
            <w:tcBorders>
              <w:top w:val="single" w:sz="4" w:space="0" w:color="auto"/>
              <w:bottom w:val="single" w:sz="4" w:space="0" w:color="auto"/>
              <w:right w:val="single" w:sz="4" w:space="0" w:color="auto"/>
            </w:tcBorders>
            <w:shd w:val="clear" w:color="auto" w:fill="FFFFFF"/>
            <w:vAlign w:val="center"/>
          </w:tcPr>
          <w:p w14:paraId="4FF88DA7" w14:textId="77777777"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lang w:val="it-IT"/>
              </w:rPr>
              <w:t>Opzione base</w:t>
            </w:r>
          </w:p>
          <w:p w14:paraId="2E75CACA" w14:textId="0D5F1504" w:rsidR="00110291" w:rsidRPr="00947ACE" w:rsidRDefault="00110291" w:rsidP="00110291">
            <w:pPr>
              <w:numPr>
                <w:ilvl w:val="12"/>
                <w:numId w:val="0"/>
              </w:numPr>
              <w:jc w:val="center"/>
              <w:rPr>
                <w:rStyle w:val="BLOCKBOLD"/>
                <w:rFonts w:ascii="Times New Roman" w:hAnsi="Times New Roman"/>
                <w:b w:val="0"/>
                <w:caps w:val="0"/>
                <w:sz w:val="22"/>
                <w:szCs w:val="22"/>
                <w:lang w:val="it-IT"/>
              </w:rPr>
            </w:pPr>
            <w:r w:rsidRPr="00947ACE">
              <w:rPr>
                <w:rStyle w:val="BLOCKBOLD"/>
                <w:rFonts w:ascii="Times New Roman" w:hAnsi="Times New Roman"/>
                <w:b w:val="0"/>
                <w:caps w:val="0"/>
                <w:sz w:val="22"/>
                <w:szCs w:val="22"/>
              </w:rPr>
              <w:sym w:font="Wingdings" w:char="F071"/>
            </w:r>
          </w:p>
        </w:tc>
      </w:tr>
    </w:tbl>
    <w:p w14:paraId="54768301" w14:textId="3195542A" w:rsidR="00A66009" w:rsidRPr="00947ACE" w:rsidRDefault="00A66009" w:rsidP="00A6600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120" w:after="120" w:line="360" w:lineRule="auto"/>
        <w:jc w:val="center"/>
        <w:rPr>
          <w:b/>
          <w:bCs/>
          <w:iCs/>
          <w:sz w:val="22"/>
          <w:szCs w:val="22"/>
          <w:lang w:val="it-IT"/>
        </w:rPr>
      </w:pPr>
      <w:r w:rsidRPr="00947ACE">
        <w:rPr>
          <w:b/>
          <w:bCs/>
          <w:iCs/>
          <w:sz w:val="22"/>
          <w:szCs w:val="22"/>
          <w:lang w:val="it-IT"/>
        </w:rPr>
        <w:t>SOTTOLIMITI DI INDENNIZZO (</w:t>
      </w:r>
      <w:r w:rsidR="00A16D21" w:rsidRPr="00947ACE">
        <w:rPr>
          <w:b/>
          <w:bCs/>
          <w:iCs/>
          <w:sz w:val="22"/>
          <w:szCs w:val="22"/>
          <w:lang w:val="it-IT"/>
        </w:rPr>
        <w:t>B1, B2, B3, B4, B5, B6, B7 e B8</w:t>
      </w:r>
      <w:r w:rsidRPr="00947ACE">
        <w:rPr>
          <w:b/>
          <w:bCs/>
          <w:iCs/>
          <w:sz w:val="22"/>
          <w:szCs w:val="22"/>
          <w:lang w:val="it-IT"/>
        </w:rPr>
        <w:t>)</w:t>
      </w:r>
      <w:r w:rsidR="0094346C" w:rsidRPr="00947ACE">
        <w:rPr>
          <w:b/>
          <w:bCs/>
          <w:iCs/>
          <w:sz w:val="22"/>
          <w:szCs w:val="22"/>
          <w:lang w:val="it-IT"/>
        </w:rPr>
        <w:t xml:space="preserve"> </w:t>
      </w:r>
      <w:r w:rsidRPr="00947ACE">
        <w:rPr>
          <w:b/>
          <w:bCs/>
          <w:i/>
          <w:iCs/>
          <w:sz w:val="22"/>
          <w:szCs w:val="22"/>
          <w:lang w:val="it-IT"/>
        </w:rPr>
        <w:t xml:space="preserve">(MAX </w:t>
      </w:r>
      <w:r w:rsidR="00303355" w:rsidRPr="00947ACE">
        <w:rPr>
          <w:b/>
          <w:bCs/>
          <w:i/>
          <w:iCs/>
          <w:sz w:val="22"/>
          <w:szCs w:val="22"/>
          <w:lang w:val="it-IT"/>
        </w:rPr>
        <w:t>5</w:t>
      </w:r>
      <w:r w:rsidRPr="00947ACE">
        <w:rPr>
          <w:b/>
          <w:bCs/>
          <w:i/>
          <w:iCs/>
          <w:sz w:val="22"/>
          <w:szCs w:val="22"/>
          <w:lang w:val="it-IT"/>
        </w:rPr>
        <w:t>0 PUNTI)</w:t>
      </w:r>
    </w:p>
    <w:p w14:paraId="618CA763" w14:textId="77777777" w:rsidR="00A66009" w:rsidRPr="00947ACE" w:rsidRDefault="00A66009" w:rsidP="00A66009">
      <w:pPr>
        <w:pStyle w:val="Sommario2"/>
        <w:rPr>
          <w:rFonts w:ascii="Times New Roman" w:hAnsi="Times New Roman" w:cs="Times New Roman"/>
        </w:rPr>
      </w:pPr>
      <w:r w:rsidRPr="00947ACE">
        <w:rPr>
          <w:rFonts w:ascii="Times New Roman" w:hAnsi="Times New Roman" w:cs="Times New Roman"/>
        </w:rPr>
        <w:t xml:space="preserve">Fermi restando i requisiti minimi, il concorrente presenta offerta con i seguenti valori </w:t>
      </w:r>
      <w:r w:rsidRPr="00947ACE">
        <w:rPr>
          <w:rFonts w:ascii="Times New Roman" w:hAnsi="Times New Roman" w:cs="Times New Roman"/>
          <w:i/>
        </w:rPr>
        <w:t>(compilare, dove consentito, i campi nell’ultima colonna)</w:t>
      </w:r>
      <w:r w:rsidRPr="00947ACE">
        <w:rPr>
          <w:rFonts w:ascii="Times New Roman" w:hAnsi="Times New Roman" w:cs="Times New Roman"/>
        </w:rPr>
        <w:t>:</w:t>
      </w:r>
    </w:p>
    <w:tbl>
      <w:tblP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3544"/>
        <w:gridCol w:w="3798"/>
      </w:tblGrid>
      <w:tr w:rsidR="00A66009" w:rsidRPr="00947ACE" w14:paraId="6974FDD3" w14:textId="77777777" w:rsidTr="00211C1B">
        <w:tc>
          <w:tcPr>
            <w:tcW w:w="2972" w:type="dxa"/>
            <w:shd w:val="clear" w:color="auto" w:fill="D9D9D9"/>
            <w:vAlign w:val="center"/>
          </w:tcPr>
          <w:p w14:paraId="6BFE5BA0" w14:textId="77777777" w:rsidR="00A66009" w:rsidRPr="00947ACE" w:rsidRDefault="00A66009" w:rsidP="00E96769">
            <w:pPr>
              <w:jc w:val="center"/>
              <w:rPr>
                <w:b/>
                <w:sz w:val="22"/>
                <w:szCs w:val="22"/>
                <w:lang w:val="it-IT"/>
              </w:rPr>
            </w:pPr>
            <w:r w:rsidRPr="00947ACE">
              <w:rPr>
                <w:b/>
                <w:sz w:val="22"/>
                <w:szCs w:val="22"/>
                <w:lang w:val="it-IT"/>
              </w:rPr>
              <w:t>GARANZIA PRESTATA</w:t>
            </w:r>
          </w:p>
        </w:tc>
        <w:tc>
          <w:tcPr>
            <w:tcW w:w="3544" w:type="dxa"/>
            <w:shd w:val="clear" w:color="auto" w:fill="D9D9D9"/>
            <w:vAlign w:val="center"/>
          </w:tcPr>
          <w:p w14:paraId="180E0117" w14:textId="77777777" w:rsidR="00A66009" w:rsidRPr="00947ACE" w:rsidRDefault="00A66009" w:rsidP="00E96769">
            <w:pPr>
              <w:jc w:val="center"/>
              <w:rPr>
                <w:b/>
                <w:sz w:val="22"/>
                <w:szCs w:val="22"/>
                <w:lang w:val="it-IT"/>
              </w:rPr>
            </w:pPr>
            <w:r w:rsidRPr="00947ACE">
              <w:rPr>
                <w:b/>
                <w:sz w:val="22"/>
                <w:szCs w:val="22"/>
                <w:lang w:val="it-IT"/>
              </w:rPr>
              <w:t>VALORE DI CAPITOLATO</w:t>
            </w:r>
          </w:p>
          <w:p w14:paraId="6C4C7B7C" w14:textId="77777777" w:rsidR="00A66009" w:rsidRPr="00947ACE" w:rsidRDefault="00A66009" w:rsidP="00E96769">
            <w:pPr>
              <w:jc w:val="center"/>
              <w:rPr>
                <w:b/>
                <w:sz w:val="22"/>
                <w:szCs w:val="22"/>
                <w:lang w:val="it-IT"/>
              </w:rPr>
            </w:pPr>
            <w:r w:rsidRPr="00947ACE">
              <w:rPr>
                <w:b/>
                <w:sz w:val="22"/>
                <w:szCs w:val="22"/>
                <w:lang w:val="it-IT"/>
              </w:rPr>
              <w:t>(requisito minimo non riducibile)</w:t>
            </w:r>
          </w:p>
        </w:tc>
        <w:tc>
          <w:tcPr>
            <w:tcW w:w="3798" w:type="dxa"/>
            <w:shd w:val="clear" w:color="auto" w:fill="D9D9D9"/>
            <w:vAlign w:val="center"/>
          </w:tcPr>
          <w:p w14:paraId="4D2A43B9" w14:textId="77777777" w:rsidR="00A66009" w:rsidRPr="00947ACE" w:rsidRDefault="00A66009" w:rsidP="00E96769">
            <w:pPr>
              <w:jc w:val="center"/>
              <w:rPr>
                <w:b/>
                <w:sz w:val="22"/>
                <w:szCs w:val="22"/>
                <w:lang w:val="it-IT"/>
              </w:rPr>
            </w:pPr>
            <w:r w:rsidRPr="00947ACE">
              <w:rPr>
                <w:b/>
                <w:sz w:val="22"/>
                <w:szCs w:val="22"/>
                <w:lang w:val="it-IT"/>
              </w:rPr>
              <w:t xml:space="preserve">VALORE OFFERTO DAL CONCORRENTE </w:t>
            </w:r>
          </w:p>
        </w:tc>
      </w:tr>
      <w:tr w:rsidR="00A66009" w:rsidRPr="00547DAF" w14:paraId="0A2A0521" w14:textId="77777777" w:rsidTr="00211C1B">
        <w:tc>
          <w:tcPr>
            <w:tcW w:w="2972" w:type="dxa"/>
            <w:shd w:val="clear" w:color="auto" w:fill="auto"/>
            <w:vAlign w:val="center"/>
          </w:tcPr>
          <w:p w14:paraId="720F5CB4" w14:textId="77777777" w:rsidR="00A16D21" w:rsidRPr="00947ACE" w:rsidRDefault="00A16D21" w:rsidP="00A66009">
            <w:pPr>
              <w:rPr>
                <w:sz w:val="22"/>
                <w:szCs w:val="22"/>
                <w:lang w:val="it-IT"/>
              </w:rPr>
            </w:pPr>
            <w:r w:rsidRPr="00947ACE">
              <w:rPr>
                <w:sz w:val="22"/>
                <w:szCs w:val="22"/>
                <w:lang w:val="it-IT"/>
              </w:rPr>
              <w:t>B1</w:t>
            </w:r>
          </w:p>
          <w:p w14:paraId="483A7DE4" w14:textId="5F4888AF" w:rsidR="00A66009" w:rsidRPr="00947ACE" w:rsidRDefault="006B1E9A" w:rsidP="00A66009">
            <w:pPr>
              <w:rPr>
                <w:sz w:val="22"/>
                <w:szCs w:val="22"/>
                <w:lang w:val="it-IT"/>
              </w:rPr>
            </w:pPr>
            <w:r w:rsidRPr="00947ACE">
              <w:rPr>
                <w:sz w:val="22"/>
                <w:szCs w:val="22"/>
                <w:lang w:val="it-IT"/>
              </w:rPr>
              <w:t>Sez. 5 – Art.</w:t>
            </w:r>
            <w:r w:rsidR="00A66009" w:rsidRPr="00947ACE">
              <w:rPr>
                <w:sz w:val="22"/>
                <w:szCs w:val="22"/>
                <w:lang w:val="it-IT"/>
              </w:rPr>
              <w:t xml:space="preserve"> 4 – Massimali di garanzia: “Responsabilità civile verso Prestatori di Lavoro” </w:t>
            </w:r>
          </w:p>
        </w:tc>
        <w:tc>
          <w:tcPr>
            <w:tcW w:w="3544" w:type="dxa"/>
            <w:shd w:val="clear" w:color="auto" w:fill="auto"/>
          </w:tcPr>
          <w:p w14:paraId="06FC5F6F" w14:textId="77777777" w:rsidR="00A66009" w:rsidRPr="00947ACE" w:rsidRDefault="00A66009" w:rsidP="00E96769">
            <w:pPr>
              <w:jc w:val="center"/>
              <w:rPr>
                <w:sz w:val="22"/>
                <w:szCs w:val="22"/>
                <w:lang w:val="it-IT"/>
              </w:rPr>
            </w:pPr>
          </w:p>
          <w:p w14:paraId="154D39CB" w14:textId="77777777" w:rsidR="00A66009" w:rsidRPr="00947ACE" w:rsidRDefault="00A66009" w:rsidP="0082115E">
            <w:pPr>
              <w:rPr>
                <w:sz w:val="22"/>
                <w:szCs w:val="22"/>
                <w:lang w:val="it-IT"/>
              </w:rPr>
            </w:pPr>
            <w:r w:rsidRPr="00947ACE">
              <w:rPr>
                <w:sz w:val="22"/>
                <w:szCs w:val="22"/>
                <w:lang w:val="it-IT"/>
              </w:rPr>
              <w:t>€ 5.000.000,00 per ogni sinistro</w:t>
            </w:r>
          </w:p>
          <w:p w14:paraId="1AE5E35E" w14:textId="3FBEC9B7" w:rsidR="00A66009" w:rsidRPr="00947ACE" w:rsidRDefault="00A66009" w:rsidP="0082115E">
            <w:pPr>
              <w:rPr>
                <w:sz w:val="22"/>
                <w:szCs w:val="22"/>
                <w:lang w:val="it-IT"/>
              </w:rPr>
            </w:pPr>
            <w:r w:rsidRPr="00947ACE">
              <w:rPr>
                <w:sz w:val="22"/>
                <w:szCs w:val="22"/>
                <w:lang w:val="it-IT"/>
              </w:rPr>
              <w:t>€ 2.500.000,00 per persona</w:t>
            </w:r>
          </w:p>
        </w:tc>
        <w:tc>
          <w:tcPr>
            <w:tcW w:w="3798" w:type="dxa"/>
            <w:shd w:val="clear" w:color="auto" w:fill="auto"/>
          </w:tcPr>
          <w:p w14:paraId="07CA54E0" w14:textId="4EAECFBA" w:rsidR="00A66009" w:rsidRPr="00947ACE" w:rsidRDefault="00A66009" w:rsidP="00A66009">
            <w:pPr>
              <w:rPr>
                <w:sz w:val="22"/>
                <w:szCs w:val="22"/>
                <w:lang w:val="it-IT"/>
              </w:rPr>
            </w:pPr>
            <w:r w:rsidRPr="00947ACE">
              <w:rPr>
                <w:sz w:val="22"/>
                <w:szCs w:val="22"/>
                <w:lang w:val="it-IT"/>
              </w:rPr>
              <w:t>€ 5.000.000,00 per ogni sinistro</w:t>
            </w:r>
          </w:p>
          <w:p w14:paraId="00504FEA" w14:textId="7A2CDFFB" w:rsidR="00A66009" w:rsidRPr="00947ACE" w:rsidRDefault="00A66009" w:rsidP="00A66009">
            <w:pPr>
              <w:rPr>
                <w:b/>
                <w:sz w:val="22"/>
                <w:szCs w:val="22"/>
                <w:lang w:val="it-IT"/>
              </w:rPr>
            </w:pPr>
            <w:r w:rsidRPr="00947ACE">
              <w:rPr>
                <w:sz w:val="22"/>
                <w:szCs w:val="22"/>
                <w:lang w:val="it-IT"/>
              </w:rPr>
              <w:t>€ 2.500.000,00 per persona</w:t>
            </w:r>
            <w:r w:rsidRPr="00947ACE">
              <w:rPr>
                <w:b/>
                <w:sz w:val="22"/>
                <w:szCs w:val="22"/>
                <w:lang w:val="it-IT"/>
              </w:rPr>
              <w:t xml:space="preserve"> □ 0 punti</w:t>
            </w:r>
          </w:p>
          <w:p w14:paraId="1CCB30C8" w14:textId="3A1B2726" w:rsidR="00A66009" w:rsidRPr="00947ACE" w:rsidRDefault="00A66009" w:rsidP="00E96769">
            <w:pPr>
              <w:jc w:val="right"/>
              <w:rPr>
                <w:b/>
                <w:sz w:val="22"/>
                <w:szCs w:val="22"/>
                <w:lang w:val="it-IT"/>
              </w:rPr>
            </w:pPr>
          </w:p>
          <w:p w14:paraId="57F59665" w14:textId="58D69B63" w:rsidR="00A66009" w:rsidRPr="00947ACE" w:rsidRDefault="00A66009" w:rsidP="00A66009">
            <w:pPr>
              <w:rPr>
                <w:sz w:val="22"/>
                <w:szCs w:val="22"/>
                <w:lang w:val="it-IT"/>
              </w:rPr>
            </w:pPr>
            <w:r w:rsidRPr="00947ACE">
              <w:rPr>
                <w:sz w:val="22"/>
                <w:szCs w:val="22"/>
                <w:lang w:val="it-IT"/>
              </w:rPr>
              <w:t>€ 7.000.000,00 per ogni sinistro</w:t>
            </w:r>
          </w:p>
          <w:p w14:paraId="5A2CF7C4" w14:textId="68139E72" w:rsidR="00A66009" w:rsidRPr="00947ACE" w:rsidRDefault="00A66009" w:rsidP="00110291">
            <w:pPr>
              <w:rPr>
                <w:b/>
                <w:sz w:val="22"/>
                <w:szCs w:val="22"/>
                <w:lang w:val="it-IT"/>
              </w:rPr>
            </w:pPr>
            <w:r w:rsidRPr="00947ACE">
              <w:rPr>
                <w:sz w:val="22"/>
                <w:szCs w:val="22"/>
                <w:lang w:val="it-IT"/>
              </w:rPr>
              <w:t>€ 3.500.000,00 per persona</w:t>
            </w:r>
            <w:r w:rsidRPr="00947ACE">
              <w:rPr>
                <w:b/>
                <w:sz w:val="22"/>
                <w:szCs w:val="22"/>
                <w:lang w:val="it-IT"/>
              </w:rPr>
              <w:t xml:space="preserve"> □ 10 punti</w:t>
            </w:r>
          </w:p>
        </w:tc>
      </w:tr>
      <w:tr w:rsidR="00A66009" w:rsidRPr="00947ACE" w14:paraId="17E63140" w14:textId="77777777" w:rsidTr="00110291">
        <w:tc>
          <w:tcPr>
            <w:tcW w:w="2972" w:type="dxa"/>
            <w:shd w:val="clear" w:color="auto" w:fill="auto"/>
            <w:vAlign w:val="center"/>
          </w:tcPr>
          <w:p w14:paraId="46C9548F" w14:textId="77777777" w:rsidR="00A16D21" w:rsidRPr="00947ACE" w:rsidRDefault="00A16D21" w:rsidP="00211C1B">
            <w:pPr>
              <w:rPr>
                <w:sz w:val="22"/>
                <w:szCs w:val="22"/>
                <w:lang w:val="it-IT"/>
              </w:rPr>
            </w:pPr>
            <w:r w:rsidRPr="00947ACE">
              <w:rPr>
                <w:sz w:val="22"/>
                <w:szCs w:val="22"/>
                <w:lang w:val="it-IT"/>
              </w:rPr>
              <w:t>B2</w:t>
            </w:r>
          </w:p>
          <w:p w14:paraId="09137E2F" w14:textId="55062F10" w:rsidR="00A66009" w:rsidRPr="00947ACE" w:rsidRDefault="00211C1B" w:rsidP="00211C1B">
            <w:pPr>
              <w:rPr>
                <w:sz w:val="22"/>
                <w:szCs w:val="22"/>
                <w:lang w:val="it-IT"/>
              </w:rPr>
            </w:pPr>
            <w:r w:rsidRPr="00947ACE">
              <w:rPr>
                <w:sz w:val="22"/>
                <w:szCs w:val="22"/>
                <w:lang w:val="it-IT"/>
              </w:rPr>
              <w:t>Sez. 7</w:t>
            </w:r>
            <w:r w:rsidR="00A66009" w:rsidRPr="00947ACE">
              <w:rPr>
                <w:sz w:val="22"/>
                <w:szCs w:val="22"/>
                <w:lang w:val="it-IT"/>
              </w:rPr>
              <w:t xml:space="preserve"> –</w:t>
            </w:r>
            <w:r w:rsidR="00146F79" w:rsidRPr="00947ACE">
              <w:rPr>
                <w:sz w:val="22"/>
                <w:szCs w:val="22"/>
                <w:lang w:val="it-IT"/>
              </w:rPr>
              <w:t xml:space="preserve"> Art. 1 </w:t>
            </w:r>
            <w:r w:rsidRPr="00947ACE">
              <w:rPr>
                <w:sz w:val="22"/>
                <w:szCs w:val="22"/>
                <w:lang w:val="it-IT"/>
              </w:rPr>
              <w:t>- Limiti di indennizzo, risarcimento – Scoperti/franchigie</w:t>
            </w:r>
            <w:r w:rsidR="00A66009" w:rsidRPr="00947ACE">
              <w:rPr>
                <w:sz w:val="22"/>
                <w:szCs w:val="22"/>
                <w:lang w:val="it-IT"/>
              </w:rPr>
              <w:t>: “</w:t>
            </w:r>
            <w:r w:rsidRPr="00947ACE">
              <w:rPr>
                <w:sz w:val="22"/>
                <w:szCs w:val="22"/>
                <w:lang w:val="it-IT"/>
              </w:rPr>
              <w:t>Limiti massimi di indennizzo</w:t>
            </w:r>
            <w:r w:rsidR="00A66009" w:rsidRPr="00947ACE">
              <w:rPr>
                <w:sz w:val="22"/>
                <w:szCs w:val="22"/>
                <w:lang w:val="it-IT"/>
              </w:rPr>
              <w:t xml:space="preserve">” </w:t>
            </w:r>
          </w:p>
        </w:tc>
        <w:tc>
          <w:tcPr>
            <w:tcW w:w="3544" w:type="dxa"/>
            <w:shd w:val="clear" w:color="auto" w:fill="auto"/>
          </w:tcPr>
          <w:p w14:paraId="4BDC9795" w14:textId="77777777" w:rsidR="00A66009" w:rsidRPr="00947ACE" w:rsidRDefault="00A66009" w:rsidP="00E96769">
            <w:pPr>
              <w:jc w:val="center"/>
              <w:rPr>
                <w:sz w:val="22"/>
                <w:szCs w:val="22"/>
                <w:lang w:val="it-IT"/>
              </w:rPr>
            </w:pPr>
          </w:p>
          <w:p w14:paraId="7EBA275C" w14:textId="77777777" w:rsidR="007C197C" w:rsidRPr="00947ACE" w:rsidRDefault="007C197C" w:rsidP="00211C1B">
            <w:pPr>
              <w:rPr>
                <w:sz w:val="22"/>
                <w:szCs w:val="22"/>
                <w:lang w:val="it-IT"/>
              </w:rPr>
            </w:pPr>
          </w:p>
          <w:p w14:paraId="68B0060B" w14:textId="3004510E" w:rsidR="00211C1B" w:rsidRPr="00947ACE" w:rsidRDefault="00211C1B" w:rsidP="00211C1B">
            <w:pPr>
              <w:rPr>
                <w:sz w:val="22"/>
                <w:szCs w:val="22"/>
                <w:lang w:val="it-IT"/>
              </w:rPr>
            </w:pPr>
            <w:r w:rsidRPr="00947ACE">
              <w:rPr>
                <w:sz w:val="22"/>
                <w:szCs w:val="22"/>
                <w:lang w:val="it-IT"/>
              </w:rPr>
              <w:t xml:space="preserve">€ 50.000.000,00 per </w:t>
            </w:r>
            <w:r w:rsidR="00D635CA" w:rsidRPr="00947ACE">
              <w:rPr>
                <w:sz w:val="22"/>
                <w:szCs w:val="22"/>
                <w:lang w:val="it-IT"/>
              </w:rPr>
              <w:t xml:space="preserve">sinistro e per </w:t>
            </w:r>
            <w:r w:rsidRPr="00947ACE">
              <w:rPr>
                <w:sz w:val="22"/>
                <w:szCs w:val="22"/>
                <w:lang w:val="it-IT"/>
              </w:rPr>
              <w:t>anno</w:t>
            </w:r>
          </w:p>
        </w:tc>
        <w:tc>
          <w:tcPr>
            <w:tcW w:w="3798" w:type="dxa"/>
            <w:shd w:val="clear" w:color="auto" w:fill="auto"/>
            <w:vAlign w:val="center"/>
          </w:tcPr>
          <w:p w14:paraId="43E4C8CF" w14:textId="30A64EFE" w:rsidR="00A66009" w:rsidRPr="00947ACE" w:rsidRDefault="00211C1B" w:rsidP="00110291">
            <w:pPr>
              <w:spacing w:line="480" w:lineRule="auto"/>
              <w:rPr>
                <w:b/>
                <w:sz w:val="22"/>
                <w:szCs w:val="22"/>
                <w:lang w:val="it-IT"/>
              </w:rPr>
            </w:pPr>
            <w:r w:rsidRPr="00947ACE">
              <w:rPr>
                <w:sz w:val="22"/>
                <w:szCs w:val="22"/>
                <w:lang w:val="it-IT"/>
              </w:rPr>
              <w:t xml:space="preserve">€ 50.000.000,00 </w:t>
            </w:r>
            <w:r w:rsidRPr="00947ACE">
              <w:rPr>
                <w:b/>
                <w:sz w:val="22"/>
                <w:szCs w:val="22"/>
                <w:lang w:val="it-IT"/>
              </w:rPr>
              <w:t>□</w:t>
            </w:r>
            <w:r w:rsidR="00A66009" w:rsidRPr="00947ACE">
              <w:rPr>
                <w:b/>
                <w:sz w:val="22"/>
                <w:szCs w:val="22"/>
                <w:lang w:val="it-IT"/>
              </w:rPr>
              <w:t xml:space="preserve"> </w:t>
            </w:r>
            <w:r w:rsidR="00E516CD" w:rsidRPr="00947ACE">
              <w:rPr>
                <w:b/>
                <w:sz w:val="22"/>
                <w:szCs w:val="22"/>
                <w:lang w:val="it-IT"/>
              </w:rPr>
              <w:t xml:space="preserve">    </w:t>
            </w:r>
            <w:r w:rsidR="00A66009" w:rsidRPr="00947ACE">
              <w:rPr>
                <w:b/>
                <w:sz w:val="22"/>
                <w:szCs w:val="22"/>
                <w:lang w:val="it-IT"/>
              </w:rPr>
              <w:t>0 punti</w:t>
            </w:r>
          </w:p>
          <w:p w14:paraId="0756757C" w14:textId="5A537070" w:rsidR="00D635CA" w:rsidRPr="00947ACE" w:rsidRDefault="00D635CA" w:rsidP="00110291">
            <w:pPr>
              <w:spacing w:line="480" w:lineRule="auto"/>
              <w:rPr>
                <w:b/>
                <w:sz w:val="22"/>
                <w:szCs w:val="22"/>
                <w:lang w:val="it-IT"/>
              </w:rPr>
            </w:pPr>
            <w:r w:rsidRPr="00947ACE">
              <w:rPr>
                <w:sz w:val="22"/>
                <w:szCs w:val="22"/>
                <w:lang w:val="it-IT"/>
              </w:rPr>
              <w:t xml:space="preserve">€ 60.000.000,00 </w:t>
            </w:r>
            <w:r w:rsidRPr="00947ACE">
              <w:rPr>
                <w:b/>
                <w:sz w:val="22"/>
                <w:szCs w:val="22"/>
                <w:lang w:val="it-IT"/>
              </w:rPr>
              <w:t>□     5 punti</w:t>
            </w:r>
          </w:p>
          <w:p w14:paraId="442699C7" w14:textId="428B24F3" w:rsidR="00A66009" w:rsidRPr="00947ACE" w:rsidRDefault="00D635CA" w:rsidP="00110291">
            <w:pPr>
              <w:spacing w:line="480" w:lineRule="auto"/>
              <w:rPr>
                <w:b/>
                <w:sz w:val="22"/>
                <w:szCs w:val="22"/>
                <w:lang w:val="it-IT"/>
              </w:rPr>
            </w:pPr>
            <w:r w:rsidRPr="00947ACE">
              <w:rPr>
                <w:sz w:val="22"/>
                <w:szCs w:val="22"/>
                <w:lang w:val="it-IT"/>
              </w:rPr>
              <w:t xml:space="preserve">€ 70.000.000,00 </w:t>
            </w:r>
            <w:r w:rsidRPr="00947ACE">
              <w:rPr>
                <w:b/>
                <w:sz w:val="22"/>
                <w:szCs w:val="22"/>
                <w:lang w:val="it-IT"/>
              </w:rPr>
              <w:t>□     10 punti</w:t>
            </w:r>
          </w:p>
        </w:tc>
      </w:tr>
      <w:tr w:rsidR="00A66009" w:rsidRPr="00547DAF" w14:paraId="6DCA916C"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4E561CB5" w14:textId="7843462A" w:rsidR="00A16D21" w:rsidRPr="00947ACE" w:rsidRDefault="00A16D21" w:rsidP="007C197C">
            <w:pPr>
              <w:rPr>
                <w:sz w:val="22"/>
                <w:szCs w:val="22"/>
                <w:lang w:val="it-IT"/>
              </w:rPr>
            </w:pPr>
            <w:r w:rsidRPr="00947ACE">
              <w:rPr>
                <w:sz w:val="22"/>
                <w:szCs w:val="22"/>
                <w:lang w:val="it-IT"/>
              </w:rPr>
              <w:t>B3</w:t>
            </w:r>
          </w:p>
          <w:p w14:paraId="5AF6C804" w14:textId="58982AFD" w:rsidR="00E516CD" w:rsidRPr="00947ACE" w:rsidRDefault="00E516CD" w:rsidP="007C197C">
            <w:pPr>
              <w:rPr>
                <w:b/>
                <w:sz w:val="22"/>
                <w:szCs w:val="22"/>
                <w:lang w:val="it-IT"/>
              </w:rPr>
            </w:pPr>
            <w:r w:rsidRPr="00947ACE">
              <w:rPr>
                <w:b/>
                <w:sz w:val="22"/>
                <w:szCs w:val="22"/>
                <w:lang w:val="it-IT"/>
              </w:rPr>
              <w:t xml:space="preserve">Sezione </w:t>
            </w:r>
            <w:proofErr w:type="spellStart"/>
            <w:r w:rsidRPr="00947ACE">
              <w:rPr>
                <w:b/>
                <w:sz w:val="22"/>
                <w:szCs w:val="22"/>
                <w:lang w:val="it-IT"/>
              </w:rPr>
              <w:t>All</w:t>
            </w:r>
            <w:proofErr w:type="spellEnd"/>
            <w:r w:rsidRPr="00947ACE">
              <w:rPr>
                <w:b/>
                <w:sz w:val="22"/>
                <w:szCs w:val="22"/>
                <w:lang w:val="it-IT"/>
              </w:rPr>
              <w:t xml:space="preserve"> risks</w:t>
            </w:r>
          </w:p>
          <w:p w14:paraId="74FC2270" w14:textId="74B16896" w:rsidR="00A66009" w:rsidRPr="00947ACE" w:rsidRDefault="007C197C" w:rsidP="007C197C">
            <w:pPr>
              <w:rPr>
                <w:sz w:val="22"/>
                <w:szCs w:val="22"/>
                <w:lang w:val="it-IT"/>
              </w:rPr>
            </w:pPr>
            <w:r w:rsidRPr="00947ACE">
              <w:rPr>
                <w:sz w:val="22"/>
                <w:szCs w:val="22"/>
                <w:lang w:val="it-IT"/>
              </w:rPr>
              <w:t xml:space="preserve">Sez. 7 – Art. 1 - Art.1- Limiti di indennizzo, risarcimento – </w:t>
            </w:r>
            <w:r w:rsidRPr="00947ACE">
              <w:rPr>
                <w:sz w:val="22"/>
                <w:szCs w:val="22"/>
                <w:lang w:val="it-IT"/>
              </w:rPr>
              <w:lastRenderedPageBreak/>
              <w:t>Scoperti/franchigie: “Onorari di architetti, professionisti e consulenti”</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75D76DCD" w14:textId="77777777" w:rsidR="007C197C" w:rsidRPr="00947ACE" w:rsidRDefault="007C197C" w:rsidP="007C197C">
            <w:pPr>
              <w:rPr>
                <w:sz w:val="22"/>
                <w:szCs w:val="22"/>
                <w:lang w:val="it-IT"/>
              </w:rPr>
            </w:pPr>
          </w:p>
          <w:p w14:paraId="58CE7002" w14:textId="77777777" w:rsidR="007C197C" w:rsidRPr="00947ACE" w:rsidRDefault="007C197C" w:rsidP="007C197C">
            <w:pPr>
              <w:rPr>
                <w:sz w:val="22"/>
                <w:szCs w:val="22"/>
                <w:lang w:val="it-IT"/>
              </w:rPr>
            </w:pPr>
          </w:p>
          <w:p w14:paraId="40B4373B" w14:textId="77777777" w:rsidR="00A16D21" w:rsidRPr="00947ACE" w:rsidRDefault="00A16D21" w:rsidP="007C197C">
            <w:pPr>
              <w:rPr>
                <w:sz w:val="22"/>
                <w:szCs w:val="22"/>
                <w:lang w:val="it-IT"/>
              </w:rPr>
            </w:pPr>
          </w:p>
          <w:p w14:paraId="2522BF10" w14:textId="370B1F15" w:rsidR="007C197C" w:rsidRPr="00947ACE" w:rsidRDefault="007C197C" w:rsidP="007C197C">
            <w:pPr>
              <w:rPr>
                <w:sz w:val="22"/>
                <w:szCs w:val="22"/>
                <w:lang w:val="it-IT"/>
              </w:rPr>
            </w:pPr>
            <w:r w:rsidRPr="00947ACE">
              <w:rPr>
                <w:sz w:val="22"/>
                <w:szCs w:val="22"/>
                <w:lang w:val="it-IT"/>
              </w:rPr>
              <w:t>€ 150.000,00 per sinistro/anno</w:t>
            </w:r>
          </w:p>
          <w:p w14:paraId="07C219C1" w14:textId="3C759D96" w:rsidR="00A66009" w:rsidRPr="00947ACE" w:rsidRDefault="00A66009" w:rsidP="00E96769">
            <w:pPr>
              <w:jc w:val="cente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1FE53410" w14:textId="77777777" w:rsidR="00A16D21" w:rsidRPr="00947ACE" w:rsidRDefault="00A16D21" w:rsidP="00110291">
            <w:pPr>
              <w:spacing w:line="480" w:lineRule="auto"/>
              <w:rPr>
                <w:sz w:val="22"/>
                <w:szCs w:val="22"/>
                <w:lang w:val="it-IT"/>
              </w:rPr>
            </w:pPr>
          </w:p>
          <w:p w14:paraId="2F94AF1A" w14:textId="47E7BA5C" w:rsidR="00A66009" w:rsidRPr="00947ACE" w:rsidRDefault="00A66009" w:rsidP="00110291">
            <w:pPr>
              <w:spacing w:line="480" w:lineRule="auto"/>
              <w:rPr>
                <w:sz w:val="22"/>
                <w:szCs w:val="22"/>
                <w:lang w:val="it-IT"/>
              </w:rPr>
            </w:pPr>
            <w:r w:rsidRPr="00947ACE">
              <w:rPr>
                <w:sz w:val="22"/>
                <w:szCs w:val="22"/>
                <w:lang w:val="it-IT"/>
              </w:rPr>
              <w:t>€ 150</w:t>
            </w:r>
            <w:r w:rsidR="007C197C" w:rsidRPr="00947ACE">
              <w:rPr>
                <w:sz w:val="22"/>
                <w:szCs w:val="22"/>
                <w:lang w:val="it-IT"/>
              </w:rPr>
              <w:t>.0</w:t>
            </w:r>
            <w:r w:rsidRPr="00947ACE">
              <w:rPr>
                <w:sz w:val="22"/>
                <w:szCs w:val="22"/>
                <w:lang w:val="it-IT"/>
              </w:rPr>
              <w:t>00</w:t>
            </w:r>
            <w:r w:rsidR="007C197C" w:rsidRPr="00947ACE">
              <w:rPr>
                <w:sz w:val="22"/>
                <w:szCs w:val="22"/>
                <w:lang w:val="it-IT"/>
              </w:rPr>
              <w:t>,00</w:t>
            </w:r>
            <w:r w:rsidRPr="00947ACE">
              <w:rPr>
                <w:sz w:val="22"/>
                <w:szCs w:val="22"/>
                <w:lang w:val="it-IT"/>
              </w:rPr>
              <w:t xml:space="preserve"> sinistro/anno </w:t>
            </w:r>
            <w:r w:rsidRPr="00947ACE">
              <w:rPr>
                <w:b/>
                <w:sz w:val="22"/>
                <w:szCs w:val="22"/>
                <w:lang w:val="it-IT"/>
              </w:rPr>
              <w:t xml:space="preserve">□  </w:t>
            </w:r>
            <w:r w:rsidR="007C197C" w:rsidRPr="00947ACE">
              <w:rPr>
                <w:b/>
                <w:sz w:val="22"/>
                <w:szCs w:val="22"/>
                <w:lang w:val="it-IT"/>
              </w:rPr>
              <w:t xml:space="preserve">  </w:t>
            </w:r>
            <w:r w:rsidRPr="00947ACE">
              <w:rPr>
                <w:b/>
                <w:sz w:val="22"/>
                <w:szCs w:val="22"/>
                <w:lang w:val="it-IT"/>
              </w:rPr>
              <w:t>0 punti</w:t>
            </w:r>
          </w:p>
          <w:p w14:paraId="1B1E2051" w14:textId="565E235B" w:rsidR="00A66009" w:rsidRPr="00947ACE" w:rsidRDefault="00A66009" w:rsidP="00110291">
            <w:pPr>
              <w:spacing w:line="480" w:lineRule="auto"/>
              <w:rPr>
                <w:b/>
                <w:sz w:val="22"/>
                <w:szCs w:val="22"/>
                <w:lang w:val="it-IT"/>
              </w:rPr>
            </w:pPr>
            <w:r w:rsidRPr="00947ACE">
              <w:rPr>
                <w:sz w:val="22"/>
                <w:szCs w:val="22"/>
                <w:lang w:val="it-IT"/>
              </w:rPr>
              <w:lastRenderedPageBreak/>
              <w:t xml:space="preserve">€ </w:t>
            </w:r>
            <w:r w:rsidR="007C197C" w:rsidRPr="00947ACE">
              <w:rPr>
                <w:sz w:val="22"/>
                <w:szCs w:val="22"/>
                <w:lang w:val="it-IT"/>
              </w:rPr>
              <w:t>2</w:t>
            </w:r>
            <w:r w:rsidRPr="00947ACE">
              <w:rPr>
                <w:sz w:val="22"/>
                <w:szCs w:val="22"/>
                <w:lang w:val="it-IT"/>
              </w:rPr>
              <w:t xml:space="preserve">00.000,00 sinistro/anno </w:t>
            </w:r>
            <w:r w:rsidR="007C197C" w:rsidRPr="00947ACE">
              <w:rPr>
                <w:b/>
                <w:sz w:val="22"/>
                <w:szCs w:val="22"/>
                <w:lang w:val="it-IT"/>
              </w:rPr>
              <w:t>□    5</w:t>
            </w:r>
            <w:r w:rsidRPr="00947ACE">
              <w:rPr>
                <w:b/>
                <w:sz w:val="22"/>
                <w:szCs w:val="22"/>
                <w:lang w:val="it-IT"/>
              </w:rPr>
              <w:t xml:space="preserve"> punti</w:t>
            </w:r>
          </w:p>
        </w:tc>
      </w:tr>
      <w:tr w:rsidR="00C43BEE" w:rsidRPr="00947ACE" w14:paraId="754E1702"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0AB5497F" w14:textId="62FEA951" w:rsidR="00A16D21" w:rsidRPr="00947ACE" w:rsidRDefault="00A16D21" w:rsidP="00C43BEE">
            <w:pPr>
              <w:rPr>
                <w:sz w:val="22"/>
                <w:szCs w:val="22"/>
                <w:lang w:val="it-IT"/>
              </w:rPr>
            </w:pPr>
            <w:r w:rsidRPr="00947ACE">
              <w:rPr>
                <w:sz w:val="22"/>
                <w:szCs w:val="22"/>
                <w:lang w:val="it-IT"/>
              </w:rPr>
              <w:lastRenderedPageBreak/>
              <w:t>B4</w:t>
            </w:r>
          </w:p>
          <w:p w14:paraId="7CD52717" w14:textId="5CB79AAA" w:rsidR="00E516CD" w:rsidRPr="00947ACE" w:rsidRDefault="00E516CD" w:rsidP="00C43BEE">
            <w:pPr>
              <w:rPr>
                <w:b/>
                <w:sz w:val="22"/>
                <w:szCs w:val="22"/>
                <w:lang w:val="it-IT"/>
              </w:rPr>
            </w:pPr>
            <w:r w:rsidRPr="00947ACE">
              <w:rPr>
                <w:b/>
                <w:sz w:val="22"/>
                <w:szCs w:val="22"/>
                <w:lang w:val="it-IT"/>
              </w:rPr>
              <w:t xml:space="preserve">Sezione </w:t>
            </w:r>
            <w:proofErr w:type="spellStart"/>
            <w:r w:rsidRPr="00947ACE">
              <w:rPr>
                <w:b/>
                <w:sz w:val="22"/>
                <w:szCs w:val="22"/>
                <w:lang w:val="it-IT"/>
              </w:rPr>
              <w:t>All</w:t>
            </w:r>
            <w:proofErr w:type="spellEnd"/>
            <w:r w:rsidRPr="00947ACE">
              <w:rPr>
                <w:b/>
                <w:sz w:val="22"/>
                <w:szCs w:val="22"/>
                <w:lang w:val="it-IT"/>
              </w:rPr>
              <w:t xml:space="preserve"> Risks</w:t>
            </w:r>
          </w:p>
          <w:p w14:paraId="014D2E38" w14:textId="0C675EED" w:rsidR="00C43BEE" w:rsidRPr="00947ACE" w:rsidRDefault="00146F79" w:rsidP="00C43BEE">
            <w:pPr>
              <w:rPr>
                <w:sz w:val="22"/>
                <w:szCs w:val="22"/>
                <w:lang w:val="it-IT"/>
              </w:rPr>
            </w:pPr>
            <w:r w:rsidRPr="00947ACE">
              <w:rPr>
                <w:sz w:val="22"/>
                <w:szCs w:val="22"/>
                <w:lang w:val="it-IT"/>
              </w:rPr>
              <w:t xml:space="preserve">Sez. 7 – Art. 1 </w:t>
            </w:r>
            <w:r w:rsidR="00C43BEE" w:rsidRPr="00947ACE">
              <w:rPr>
                <w:sz w:val="22"/>
                <w:szCs w:val="22"/>
                <w:lang w:val="it-IT"/>
              </w:rPr>
              <w:t>- Limiti di indennizzo, risarcimento – Scoperti/franchigie: “Ricorso terzi e locatari”</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568C3CFE" w14:textId="77777777" w:rsidR="00C43BEE" w:rsidRPr="00947ACE" w:rsidRDefault="00C43BEE" w:rsidP="00C43BEE">
            <w:pPr>
              <w:rPr>
                <w:sz w:val="22"/>
                <w:szCs w:val="22"/>
                <w:lang w:val="it-IT"/>
              </w:rPr>
            </w:pPr>
          </w:p>
          <w:p w14:paraId="5D0CB80F" w14:textId="250EDC69" w:rsidR="00C43BEE" w:rsidRPr="00947ACE" w:rsidRDefault="00C43BEE" w:rsidP="00C43BEE">
            <w:pPr>
              <w:rPr>
                <w:sz w:val="22"/>
                <w:szCs w:val="22"/>
                <w:lang w:val="it-IT"/>
              </w:rPr>
            </w:pPr>
            <w:r w:rsidRPr="00947ACE">
              <w:rPr>
                <w:sz w:val="22"/>
                <w:szCs w:val="22"/>
                <w:lang w:val="it-IT"/>
              </w:rPr>
              <w:t>€ 3.000.000,00 per sinistro</w:t>
            </w:r>
          </w:p>
          <w:p w14:paraId="08F2D16B" w14:textId="77777777" w:rsidR="00C43BEE" w:rsidRPr="00947ACE" w:rsidRDefault="00C43BEE" w:rsidP="00C43BEE">
            <w:pP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4BFE04D8" w14:textId="3DFAF0F4" w:rsidR="00C43BEE" w:rsidRPr="00947ACE" w:rsidRDefault="00C43BEE" w:rsidP="00110291">
            <w:pPr>
              <w:spacing w:line="480" w:lineRule="auto"/>
              <w:rPr>
                <w:sz w:val="22"/>
                <w:szCs w:val="22"/>
                <w:lang w:val="it-IT"/>
              </w:rPr>
            </w:pPr>
            <w:r w:rsidRPr="00947ACE">
              <w:rPr>
                <w:sz w:val="22"/>
                <w:szCs w:val="22"/>
                <w:lang w:val="it-IT"/>
              </w:rPr>
              <w:t xml:space="preserve">€ 3.000.000,00 sinistro           </w:t>
            </w:r>
            <w:r w:rsidRPr="00947ACE">
              <w:rPr>
                <w:b/>
                <w:sz w:val="22"/>
                <w:szCs w:val="22"/>
                <w:lang w:val="it-IT"/>
              </w:rPr>
              <w:t>□    0 punti</w:t>
            </w:r>
          </w:p>
          <w:p w14:paraId="6658BCC1" w14:textId="7DFFC69E" w:rsidR="00C43BEE" w:rsidRPr="00947ACE" w:rsidRDefault="00C43BEE" w:rsidP="00110291">
            <w:pPr>
              <w:spacing w:line="480" w:lineRule="auto"/>
              <w:rPr>
                <w:sz w:val="22"/>
                <w:szCs w:val="22"/>
                <w:lang w:val="it-IT"/>
              </w:rPr>
            </w:pPr>
            <w:r w:rsidRPr="00947ACE">
              <w:rPr>
                <w:sz w:val="22"/>
                <w:szCs w:val="22"/>
                <w:lang w:val="it-IT"/>
              </w:rPr>
              <w:t>€ 3.5</w:t>
            </w:r>
            <w:r w:rsidR="00110291" w:rsidRPr="00947ACE">
              <w:rPr>
                <w:sz w:val="22"/>
                <w:szCs w:val="22"/>
                <w:lang w:val="it-IT"/>
              </w:rPr>
              <w:t xml:space="preserve">00.000,00 sinistro          </w:t>
            </w:r>
            <w:r w:rsidRPr="00947ACE">
              <w:rPr>
                <w:sz w:val="22"/>
                <w:szCs w:val="22"/>
                <w:lang w:val="it-IT"/>
              </w:rPr>
              <w:t xml:space="preserve"> </w:t>
            </w:r>
            <w:r w:rsidRPr="00947ACE">
              <w:rPr>
                <w:b/>
                <w:sz w:val="22"/>
                <w:szCs w:val="22"/>
                <w:lang w:val="it-IT"/>
              </w:rPr>
              <w:t>□   5 punti</w:t>
            </w:r>
          </w:p>
        </w:tc>
      </w:tr>
      <w:tr w:rsidR="00472E09" w:rsidRPr="00547DAF" w14:paraId="212D3664"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1A855183" w14:textId="73AEB7C6" w:rsidR="00A16D21" w:rsidRPr="00947ACE" w:rsidRDefault="00A16D21" w:rsidP="00472E09">
            <w:pPr>
              <w:rPr>
                <w:sz w:val="22"/>
                <w:szCs w:val="22"/>
                <w:lang w:val="it-IT"/>
              </w:rPr>
            </w:pPr>
            <w:r w:rsidRPr="00947ACE">
              <w:rPr>
                <w:sz w:val="22"/>
                <w:szCs w:val="22"/>
                <w:lang w:val="it-IT"/>
              </w:rPr>
              <w:t>B5</w:t>
            </w:r>
          </w:p>
          <w:p w14:paraId="196F41B6" w14:textId="256122EB" w:rsidR="00E516CD" w:rsidRPr="00947ACE" w:rsidRDefault="00E516CD" w:rsidP="00472E09">
            <w:pPr>
              <w:rPr>
                <w:b/>
                <w:sz w:val="22"/>
                <w:szCs w:val="22"/>
                <w:lang w:val="it-IT"/>
              </w:rPr>
            </w:pPr>
            <w:r w:rsidRPr="00947ACE">
              <w:rPr>
                <w:b/>
                <w:sz w:val="22"/>
                <w:szCs w:val="22"/>
                <w:lang w:val="it-IT"/>
              </w:rPr>
              <w:t xml:space="preserve">Sezione </w:t>
            </w:r>
            <w:proofErr w:type="spellStart"/>
            <w:r w:rsidRPr="00947ACE">
              <w:rPr>
                <w:b/>
                <w:sz w:val="22"/>
                <w:szCs w:val="22"/>
                <w:lang w:val="it-IT"/>
              </w:rPr>
              <w:t>All</w:t>
            </w:r>
            <w:proofErr w:type="spellEnd"/>
            <w:r w:rsidRPr="00947ACE">
              <w:rPr>
                <w:b/>
                <w:sz w:val="22"/>
                <w:szCs w:val="22"/>
                <w:lang w:val="it-IT"/>
              </w:rPr>
              <w:t xml:space="preserve"> Risks</w:t>
            </w:r>
          </w:p>
          <w:p w14:paraId="4B0EF9EA" w14:textId="10EA6D14" w:rsidR="00472E09" w:rsidRPr="00947ACE" w:rsidRDefault="00146F79" w:rsidP="00472E09">
            <w:pPr>
              <w:rPr>
                <w:sz w:val="22"/>
                <w:szCs w:val="22"/>
                <w:lang w:val="it-IT"/>
              </w:rPr>
            </w:pPr>
            <w:r w:rsidRPr="00947ACE">
              <w:rPr>
                <w:sz w:val="22"/>
                <w:szCs w:val="22"/>
                <w:lang w:val="it-IT"/>
              </w:rPr>
              <w:t xml:space="preserve">Sez. 7 – Art. 1 </w:t>
            </w:r>
            <w:r w:rsidR="00472E09" w:rsidRPr="00947ACE">
              <w:rPr>
                <w:sz w:val="22"/>
                <w:szCs w:val="22"/>
                <w:lang w:val="it-IT"/>
              </w:rPr>
              <w:t>- Limiti di indennizzo, risarcimento – Scoperti/franchigie: “Acqua condotta – Spese ricerca guasto”</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005AF5B4" w14:textId="77777777" w:rsidR="00472E09" w:rsidRPr="00947ACE" w:rsidRDefault="00472E09" w:rsidP="00472E09">
            <w:pPr>
              <w:rPr>
                <w:sz w:val="22"/>
                <w:szCs w:val="22"/>
                <w:lang w:val="it-IT"/>
              </w:rPr>
            </w:pPr>
          </w:p>
          <w:p w14:paraId="3C90AC71" w14:textId="162E7186" w:rsidR="00472E09" w:rsidRPr="00947ACE" w:rsidRDefault="00E516CD" w:rsidP="00472E09">
            <w:pPr>
              <w:rPr>
                <w:sz w:val="22"/>
                <w:szCs w:val="22"/>
                <w:lang w:val="it-IT"/>
              </w:rPr>
            </w:pPr>
            <w:r w:rsidRPr="00947ACE">
              <w:rPr>
                <w:sz w:val="22"/>
                <w:szCs w:val="22"/>
                <w:lang w:val="it-IT"/>
              </w:rPr>
              <w:t>€ 25</w:t>
            </w:r>
            <w:r w:rsidR="00472E09" w:rsidRPr="00947ACE">
              <w:rPr>
                <w:sz w:val="22"/>
                <w:szCs w:val="22"/>
                <w:lang w:val="it-IT"/>
              </w:rPr>
              <w:t>0</w:t>
            </w:r>
            <w:r w:rsidRPr="00947ACE">
              <w:rPr>
                <w:sz w:val="22"/>
                <w:szCs w:val="22"/>
                <w:lang w:val="it-IT"/>
              </w:rPr>
              <w:t>.</w:t>
            </w:r>
            <w:r w:rsidR="00472E09" w:rsidRPr="00947ACE">
              <w:rPr>
                <w:sz w:val="22"/>
                <w:szCs w:val="22"/>
                <w:lang w:val="it-IT"/>
              </w:rPr>
              <w:t>000,00 per sinistro</w:t>
            </w:r>
            <w:r w:rsidRPr="00947ACE">
              <w:rPr>
                <w:sz w:val="22"/>
                <w:szCs w:val="22"/>
                <w:lang w:val="it-IT"/>
              </w:rPr>
              <w:t>/anno</w:t>
            </w:r>
          </w:p>
          <w:p w14:paraId="189673A1" w14:textId="77777777" w:rsidR="00472E09" w:rsidRPr="00947ACE" w:rsidRDefault="00472E09" w:rsidP="00472E09">
            <w:pP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153451C8" w14:textId="429A9F68" w:rsidR="00472E09" w:rsidRPr="00947ACE" w:rsidRDefault="00472E09" w:rsidP="00110291">
            <w:pPr>
              <w:spacing w:line="480" w:lineRule="auto"/>
              <w:rPr>
                <w:sz w:val="22"/>
                <w:szCs w:val="22"/>
                <w:lang w:val="it-IT"/>
              </w:rPr>
            </w:pPr>
            <w:r w:rsidRPr="00947ACE">
              <w:rPr>
                <w:sz w:val="22"/>
                <w:szCs w:val="22"/>
                <w:lang w:val="it-IT"/>
              </w:rPr>
              <w:t xml:space="preserve">€ </w:t>
            </w:r>
            <w:r w:rsidR="00E516CD" w:rsidRPr="00947ACE">
              <w:rPr>
                <w:sz w:val="22"/>
                <w:szCs w:val="22"/>
                <w:lang w:val="it-IT"/>
              </w:rPr>
              <w:t>250.000</w:t>
            </w:r>
            <w:r w:rsidRPr="00947ACE">
              <w:rPr>
                <w:sz w:val="22"/>
                <w:szCs w:val="22"/>
                <w:lang w:val="it-IT"/>
              </w:rPr>
              <w:t>,00 sinistro</w:t>
            </w:r>
            <w:r w:rsidR="00146F79" w:rsidRPr="00947ACE">
              <w:rPr>
                <w:sz w:val="22"/>
                <w:szCs w:val="22"/>
                <w:lang w:val="it-IT"/>
              </w:rPr>
              <w:t>/anno</w:t>
            </w:r>
            <w:r w:rsidRPr="00947ACE">
              <w:rPr>
                <w:sz w:val="22"/>
                <w:szCs w:val="22"/>
                <w:lang w:val="it-IT"/>
              </w:rPr>
              <w:t xml:space="preserve">   </w:t>
            </w:r>
            <w:r w:rsidRPr="00947ACE">
              <w:rPr>
                <w:b/>
                <w:sz w:val="22"/>
                <w:szCs w:val="22"/>
                <w:lang w:val="it-IT"/>
              </w:rPr>
              <w:t>□    0 punti</w:t>
            </w:r>
          </w:p>
          <w:p w14:paraId="5EDEB75C" w14:textId="16F500CB" w:rsidR="00472E09" w:rsidRPr="00947ACE" w:rsidRDefault="00472E09" w:rsidP="00110291">
            <w:pPr>
              <w:spacing w:line="480" w:lineRule="auto"/>
              <w:rPr>
                <w:sz w:val="22"/>
                <w:szCs w:val="22"/>
                <w:lang w:val="it-IT"/>
              </w:rPr>
            </w:pPr>
            <w:r w:rsidRPr="00947ACE">
              <w:rPr>
                <w:sz w:val="22"/>
                <w:szCs w:val="22"/>
                <w:lang w:val="it-IT"/>
              </w:rPr>
              <w:t xml:space="preserve">€ </w:t>
            </w:r>
            <w:r w:rsidR="00E516CD" w:rsidRPr="00947ACE">
              <w:rPr>
                <w:sz w:val="22"/>
                <w:szCs w:val="22"/>
                <w:lang w:val="it-IT"/>
              </w:rPr>
              <w:t>35</w:t>
            </w:r>
            <w:r w:rsidRPr="00947ACE">
              <w:rPr>
                <w:sz w:val="22"/>
                <w:szCs w:val="22"/>
                <w:lang w:val="it-IT"/>
              </w:rPr>
              <w:t xml:space="preserve">0.000,00 sinistro/anno </w:t>
            </w:r>
            <w:r w:rsidR="00146F79" w:rsidRPr="00947ACE">
              <w:rPr>
                <w:sz w:val="22"/>
                <w:szCs w:val="22"/>
                <w:lang w:val="it-IT"/>
              </w:rPr>
              <w:t xml:space="preserve">  </w:t>
            </w:r>
            <w:r w:rsidRPr="00947ACE">
              <w:rPr>
                <w:b/>
                <w:sz w:val="22"/>
                <w:szCs w:val="22"/>
                <w:lang w:val="it-IT"/>
              </w:rPr>
              <w:t xml:space="preserve">□   </w:t>
            </w:r>
            <w:r w:rsidR="00146F79" w:rsidRPr="00947ACE">
              <w:rPr>
                <w:b/>
                <w:sz w:val="22"/>
                <w:szCs w:val="22"/>
                <w:lang w:val="it-IT"/>
              </w:rPr>
              <w:t xml:space="preserve"> </w:t>
            </w:r>
            <w:r w:rsidRPr="00947ACE">
              <w:rPr>
                <w:b/>
                <w:sz w:val="22"/>
                <w:szCs w:val="22"/>
                <w:lang w:val="it-IT"/>
              </w:rPr>
              <w:t>5 punti</w:t>
            </w:r>
          </w:p>
        </w:tc>
      </w:tr>
      <w:tr w:rsidR="00146F79" w:rsidRPr="00947ACE" w14:paraId="5B2E222B"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25A3004C" w14:textId="6A7D556E" w:rsidR="00A16D21" w:rsidRPr="00947ACE" w:rsidRDefault="00A16D21" w:rsidP="00146F79">
            <w:pPr>
              <w:rPr>
                <w:sz w:val="22"/>
                <w:szCs w:val="22"/>
                <w:lang w:val="it-IT"/>
              </w:rPr>
            </w:pPr>
            <w:r w:rsidRPr="00947ACE">
              <w:rPr>
                <w:sz w:val="22"/>
                <w:szCs w:val="22"/>
                <w:lang w:val="it-IT"/>
              </w:rPr>
              <w:t>B6</w:t>
            </w:r>
          </w:p>
          <w:p w14:paraId="26D4AECF" w14:textId="10CD0E1C" w:rsidR="00146F79" w:rsidRPr="00947ACE" w:rsidRDefault="00146F79" w:rsidP="00146F79">
            <w:pPr>
              <w:rPr>
                <w:b/>
                <w:sz w:val="22"/>
                <w:szCs w:val="22"/>
                <w:lang w:val="it-IT"/>
              </w:rPr>
            </w:pPr>
            <w:r w:rsidRPr="00947ACE">
              <w:rPr>
                <w:b/>
                <w:sz w:val="22"/>
                <w:szCs w:val="22"/>
                <w:lang w:val="it-IT"/>
              </w:rPr>
              <w:t>Sezione RCTO</w:t>
            </w:r>
          </w:p>
          <w:p w14:paraId="2FC4DFE8" w14:textId="70874838" w:rsidR="00146F79" w:rsidRPr="00947ACE" w:rsidRDefault="00146F79" w:rsidP="00146F79">
            <w:pPr>
              <w:rPr>
                <w:sz w:val="22"/>
                <w:szCs w:val="22"/>
                <w:lang w:val="it-IT"/>
              </w:rPr>
            </w:pPr>
            <w:r w:rsidRPr="00947ACE">
              <w:rPr>
                <w:sz w:val="22"/>
                <w:szCs w:val="22"/>
                <w:lang w:val="it-IT"/>
              </w:rPr>
              <w:t>Sez. 7 – Art. 1 - Limiti di indennizzo, risarcimento – Scoperti/franchigie: “Danni da incendio”</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7378DD96" w14:textId="77777777" w:rsidR="00146F79" w:rsidRPr="00947ACE" w:rsidRDefault="00146F79" w:rsidP="00146F79">
            <w:pPr>
              <w:rPr>
                <w:sz w:val="22"/>
                <w:szCs w:val="22"/>
                <w:lang w:val="it-IT"/>
              </w:rPr>
            </w:pPr>
          </w:p>
          <w:p w14:paraId="7ED9C5CA" w14:textId="247D36C0" w:rsidR="00146F79" w:rsidRPr="00947ACE" w:rsidRDefault="00146F79" w:rsidP="00146F79">
            <w:pPr>
              <w:rPr>
                <w:sz w:val="22"/>
                <w:szCs w:val="22"/>
                <w:lang w:val="it-IT"/>
              </w:rPr>
            </w:pPr>
            <w:r w:rsidRPr="00947ACE">
              <w:rPr>
                <w:sz w:val="22"/>
                <w:szCs w:val="22"/>
                <w:lang w:val="it-IT"/>
              </w:rPr>
              <w:t>€ 250.000,00 per sinistro</w:t>
            </w:r>
          </w:p>
          <w:p w14:paraId="2ECE87CC" w14:textId="77777777" w:rsidR="00146F79" w:rsidRPr="00947ACE" w:rsidRDefault="00146F79" w:rsidP="00146F79">
            <w:pP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0385D1CB" w14:textId="77777777" w:rsidR="00146F79" w:rsidRPr="00947ACE" w:rsidRDefault="00146F79" w:rsidP="00110291">
            <w:pPr>
              <w:spacing w:line="480" w:lineRule="auto"/>
              <w:rPr>
                <w:sz w:val="22"/>
                <w:szCs w:val="22"/>
                <w:lang w:val="it-IT"/>
              </w:rPr>
            </w:pPr>
            <w:r w:rsidRPr="00947ACE">
              <w:rPr>
                <w:sz w:val="22"/>
                <w:szCs w:val="22"/>
                <w:lang w:val="it-IT"/>
              </w:rPr>
              <w:t xml:space="preserve">€ 250.000,00 sinistro           </w:t>
            </w:r>
            <w:r w:rsidRPr="00947ACE">
              <w:rPr>
                <w:b/>
                <w:sz w:val="22"/>
                <w:szCs w:val="22"/>
                <w:lang w:val="it-IT"/>
              </w:rPr>
              <w:t>□    0 punti</w:t>
            </w:r>
          </w:p>
          <w:p w14:paraId="443C5FA5" w14:textId="6BEFFB21" w:rsidR="00146F79" w:rsidRPr="00947ACE" w:rsidRDefault="00146F79" w:rsidP="00110291">
            <w:pPr>
              <w:spacing w:line="480" w:lineRule="auto"/>
              <w:rPr>
                <w:sz w:val="22"/>
                <w:szCs w:val="22"/>
                <w:lang w:val="it-IT"/>
              </w:rPr>
            </w:pPr>
            <w:r w:rsidRPr="00947ACE">
              <w:rPr>
                <w:sz w:val="22"/>
                <w:szCs w:val="22"/>
                <w:lang w:val="it-IT"/>
              </w:rPr>
              <w:t xml:space="preserve">€ 350.000,00 sinistro </w:t>
            </w:r>
            <w:r w:rsidR="00C31912" w:rsidRPr="00947ACE">
              <w:rPr>
                <w:sz w:val="22"/>
                <w:szCs w:val="22"/>
                <w:lang w:val="it-IT"/>
              </w:rPr>
              <w:t xml:space="preserve">     </w:t>
            </w:r>
            <w:r w:rsidRPr="00947ACE">
              <w:rPr>
                <w:sz w:val="22"/>
                <w:szCs w:val="22"/>
                <w:lang w:val="it-IT"/>
              </w:rPr>
              <w:t xml:space="preserve">     </w:t>
            </w:r>
            <w:r w:rsidRPr="00947ACE">
              <w:rPr>
                <w:b/>
                <w:sz w:val="22"/>
                <w:szCs w:val="22"/>
                <w:lang w:val="it-IT"/>
              </w:rPr>
              <w:t>□   5 punti</w:t>
            </w:r>
          </w:p>
        </w:tc>
      </w:tr>
      <w:tr w:rsidR="00146F79" w:rsidRPr="00947ACE" w14:paraId="130CD493"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605A93F8" w14:textId="1CC5553D" w:rsidR="00A16D21" w:rsidRPr="00947ACE" w:rsidRDefault="00A16D21" w:rsidP="00146F79">
            <w:pPr>
              <w:rPr>
                <w:sz w:val="22"/>
                <w:szCs w:val="22"/>
                <w:lang w:val="it-IT"/>
              </w:rPr>
            </w:pPr>
            <w:r w:rsidRPr="00947ACE">
              <w:rPr>
                <w:sz w:val="22"/>
                <w:szCs w:val="22"/>
                <w:lang w:val="it-IT"/>
              </w:rPr>
              <w:t>B7</w:t>
            </w:r>
          </w:p>
          <w:p w14:paraId="1B9BFB06" w14:textId="6543427D" w:rsidR="00146F79" w:rsidRPr="00947ACE" w:rsidRDefault="00146F79" w:rsidP="00146F79">
            <w:pPr>
              <w:rPr>
                <w:b/>
                <w:sz w:val="22"/>
                <w:szCs w:val="22"/>
                <w:lang w:val="it-IT"/>
              </w:rPr>
            </w:pPr>
            <w:r w:rsidRPr="00947ACE">
              <w:rPr>
                <w:b/>
                <w:sz w:val="22"/>
                <w:szCs w:val="22"/>
                <w:lang w:val="it-IT"/>
              </w:rPr>
              <w:t>Sezione RCTO</w:t>
            </w:r>
          </w:p>
          <w:p w14:paraId="542E7D62" w14:textId="6E7A9A88" w:rsidR="00146F79" w:rsidRPr="00947ACE" w:rsidRDefault="00146F79" w:rsidP="00146F79">
            <w:pPr>
              <w:rPr>
                <w:b/>
                <w:sz w:val="22"/>
                <w:szCs w:val="22"/>
                <w:lang w:val="it-IT"/>
              </w:rPr>
            </w:pPr>
            <w:r w:rsidRPr="00947ACE">
              <w:rPr>
                <w:sz w:val="22"/>
                <w:szCs w:val="22"/>
                <w:lang w:val="it-IT"/>
              </w:rPr>
              <w:t>Sez. 7 – Art. 1 - Limiti di indennizzo, risarcimento – Scoperti/franchigie: “Inquinamento accidentale”</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0F799C5C" w14:textId="77777777" w:rsidR="00146F79" w:rsidRPr="00947ACE" w:rsidRDefault="00146F79" w:rsidP="00146F79">
            <w:pPr>
              <w:rPr>
                <w:sz w:val="22"/>
                <w:szCs w:val="22"/>
                <w:lang w:val="it-IT"/>
              </w:rPr>
            </w:pPr>
          </w:p>
          <w:p w14:paraId="47703808" w14:textId="1C93CC48" w:rsidR="00146F79" w:rsidRPr="00947ACE" w:rsidRDefault="00146F79" w:rsidP="00146F79">
            <w:pPr>
              <w:rPr>
                <w:sz w:val="22"/>
                <w:szCs w:val="22"/>
                <w:lang w:val="it-IT"/>
              </w:rPr>
            </w:pPr>
            <w:r w:rsidRPr="00947ACE">
              <w:rPr>
                <w:sz w:val="22"/>
                <w:szCs w:val="22"/>
                <w:lang w:val="it-IT"/>
              </w:rPr>
              <w:t>€ 150.000,00 per sinistro</w:t>
            </w:r>
          </w:p>
          <w:p w14:paraId="168CFAB0" w14:textId="77777777" w:rsidR="00146F79" w:rsidRPr="00947ACE" w:rsidRDefault="00146F79" w:rsidP="00146F79">
            <w:pP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3722771B" w14:textId="53AFB102" w:rsidR="00146F79" w:rsidRPr="00947ACE" w:rsidRDefault="00146F79" w:rsidP="00110291">
            <w:pPr>
              <w:spacing w:line="480" w:lineRule="auto"/>
              <w:rPr>
                <w:sz w:val="22"/>
                <w:szCs w:val="22"/>
                <w:lang w:val="it-IT"/>
              </w:rPr>
            </w:pPr>
            <w:r w:rsidRPr="00947ACE">
              <w:rPr>
                <w:sz w:val="22"/>
                <w:szCs w:val="22"/>
                <w:lang w:val="it-IT"/>
              </w:rPr>
              <w:t xml:space="preserve">€ 150.000,00 sinistro           </w:t>
            </w:r>
            <w:r w:rsidRPr="00947ACE">
              <w:rPr>
                <w:b/>
                <w:sz w:val="22"/>
                <w:szCs w:val="22"/>
                <w:lang w:val="it-IT"/>
              </w:rPr>
              <w:t>□    0 punti</w:t>
            </w:r>
          </w:p>
          <w:p w14:paraId="3979DC7F" w14:textId="3BD084E7" w:rsidR="00146F79" w:rsidRPr="00947ACE" w:rsidRDefault="00146F79" w:rsidP="00110291">
            <w:pPr>
              <w:spacing w:line="480" w:lineRule="auto"/>
              <w:rPr>
                <w:sz w:val="22"/>
                <w:szCs w:val="22"/>
                <w:lang w:val="it-IT"/>
              </w:rPr>
            </w:pPr>
            <w:r w:rsidRPr="00947ACE">
              <w:rPr>
                <w:sz w:val="22"/>
                <w:szCs w:val="22"/>
                <w:lang w:val="it-IT"/>
              </w:rPr>
              <w:t xml:space="preserve">€ 250.000,00 sinistro </w:t>
            </w:r>
            <w:r w:rsidR="00C31912" w:rsidRPr="00947ACE">
              <w:rPr>
                <w:sz w:val="22"/>
                <w:szCs w:val="22"/>
                <w:lang w:val="it-IT"/>
              </w:rPr>
              <w:t xml:space="preserve">        </w:t>
            </w:r>
            <w:r w:rsidRPr="00947ACE">
              <w:rPr>
                <w:sz w:val="22"/>
                <w:szCs w:val="22"/>
                <w:lang w:val="it-IT"/>
              </w:rPr>
              <w:t xml:space="preserve">  </w:t>
            </w:r>
            <w:r w:rsidRPr="00947ACE">
              <w:rPr>
                <w:b/>
                <w:sz w:val="22"/>
                <w:szCs w:val="22"/>
                <w:lang w:val="it-IT"/>
              </w:rPr>
              <w:t>□   5 punti</w:t>
            </w:r>
          </w:p>
        </w:tc>
      </w:tr>
      <w:tr w:rsidR="00146F79" w:rsidRPr="00947ACE" w14:paraId="1E07CCBB" w14:textId="77777777" w:rsidTr="00110291">
        <w:tc>
          <w:tcPr>
            <w:tcW w:w="2972" w:type="dxa"/>
            <w:tcBorders>
              <w:top w:val="dotted" w:sz="4" w:space="0" w:color="auto"/>
              <w:left w:val="dotted" w:sz="4" w:space="0" w:color="auto"/>
              <w:bottom w:val="dotted" w:sz="4" w:space="0" w:color="auto"/>
              <w:right w:val="dotted" w:sz="4" w:space="0" w:color="auto"/>
            </w:tcBorders>
            <w:shd w:val="clear" w:color="auto" w:fill="auto"/>
            <w:vAlign w:val="center"/>
          </w:tcPr>
          <w:p w14:paraId="01100A5D" w14:textId="0C6E3BD1" w:rsidR="00A16D21" w:rsidRPr="00947ACE" w:rsidRDefault="00A16D21" w:rsidP="00146F79">
            <w:pPr>
              <w:rPr>
                <w:sz w:val="22"/>
                <w:szCs w:val="22"/>
                <w:lang w:val="it-IT"/>
              </w:rPr>
            </w:pPr>
            <w:r w:rsidRPr="00947ACE">
              <w:rPr>
                <w:sz w:val="22"/>
                <w:szCs w:val="22"/>
                <w:lang w:val="it-IT"/>
              </w:rPr>
              <w:t>B8</w:t>
            </w:r>
          </w:p>
          <w:p w14:paraId="1865EABA" w14:textId="637B0231" w:rsidR="00146F79" w:rsidRPr="00947ACE" w:rsidRDefault="00146F79" w:rsidP="00146F79">
            <w:pPr>
              <w:rPr>
                <w:b/>
                <w:sz w:val="22"/>
                <w:szCs w:val="22"/>
                <w:lang w:val="it-IT"/>
              </w:rPr>
            </w:pPr>
            <w:r w:rsidRPr="00947ACE">
              <w:rPr>
                <w:b/>
                <w:sz w:val="22"/>
                <w:szCs w:val="22"/>
                <w:lang w:val="it-IT"/>
              </w:rPr>
              <w:t>RCTO</w:t>
            </w:r>
          </w:p>
          <w:p w14:paraId="758B485C" w14:textId="41C99C36" w:rsidR="00146F79" w:rsidRPr="00947ACE" w:rsidRDefault="00146F79" w:rsidP="00146F79">
            <w:pPr>
              <w:rPr>
                <w:b/>
                <w:sz w:val="22"/>
                <w:szCs w:val="22"/>
                <w:lang w:val="it-IT"/>
              </w:rPr>
            </w:pPr>
            <w:r w:rsidRPr="00947ACE">
              <w:rPr>
                <w:sz w:val="22"/>
                <w:szCs w:val="22"/>
                <w:lang w:val="it-IT"/>
              </w:rPr>
              <w:t>Sez. 7 – Art. 1 - Limiti di indennizzo, risarcimento – Scoperti/franchigie: “Interruzione di attività”</w:t>
            </w:r>
          </w:p>
        </w:tc>
        <w:tc>
          <w:tcPr>
            <w:tcW w:w="3544" w:type="dxa"/>
            <w:tcBorders>
              <w:top w:val="dotted" w:sz="4" w:space="0" w:color="auto"/>
              <w:left w:val="dotted" w:sz="4" w:space="0" w:color="auto"/>
              <w:bottom w:val="dotted" w:sz="4" w:space="0" w:color="auto"/>
              <w:right w:val="dotted" w:sz="4" w:space="0" w:color="auto"/>
            </w:tcBorders>
            <w:shd w:val="clear" w:color="auto" w:fill="auto"/>
          </w:tcPr>
          <w:p w14:paraId="7C1F6B1D" w14:textId="77777777" w:rsidR="00146F79" w:rsidRPr="00947ACE" w:rsidRDefault="00146F79" w:rsidP="00146F79">
            <w:pPr>
              <w:rPr>
                <w:sz w:val="22"/>
                <w:szCs w:val="22"/>
                <w:lang w:val="it-IT"/>
              </w:rPr>
            </w:pPr>
          </w:p>
          <w:p w14:paraId="5C5D2275" w14:textId="77777777" w:rsidR="00146F79" w:rsidRPr="00947ACE" w:rsidRDefault="00146F79" w:rsidP="00146F79">
            <w:pPr>
              <w:rPr>
                <w:sz w:val="22"/>
                <w:szCs w:val="22"/>
                <w:lang w:val="it-IT"/>
              </w:rPr>
            </w:pPr>
            <w:r w:rsidRPr="00947ACE">
              <w:rPr>
                <w:sz w:val="22"/>
                <w:szCs w:val="22"/>
                <w:lang w:val="it-IT"/>
              </w:rPr>
              <w:t>€ 250.000,00 per sinistro</w:t>
            </w:r>
          </w:p>
          <w:p w14:paraId="7B63F8F7" w14:textId="77777777" w:rsidR="00146F79" w:rsidRPr="00947ACE" w:rsidRDefault="00146F79" w:rsidP="00146F79">
            <w:pPr>
              <w:rPr>
                <w:sz w:val="22"/>
                <w:szCs w:val="22"/>
                <w:lang w:val="it-IT"/>
              </w:rPr>
            </w:pPr>
          </w:p>
        </w:tc>
        <w:tc>
          <w:tcPr>
            <w:tcW w:w="3798" w:type="dxa"/>
            <w:tcBorders>
              <w:top w:val="dotted" w:sz="4" w:space="0" w:color="auto"/>
              <w:left w:val="dotted" w:sz="4" w:space="0" w:color="auto"/>
              <w:bottom w:val="dotted" w:sz="4" w:space="0" w:color="auto"/>
              <w:right w:val="dotted" w:sz="4" w:space="0" w:color="auto"/>
            </w:tcBorders>
            <w:shd w:val="clear" w:color="auto" w:fill="auto"/>
            <w:vAlign w:val="center"/>
          </w:tcPr>
          <w:p w14:paraId="7BFFC422" w14:textId="77777777" w:rsidR="00146F79" w:rsidRPr="00947ACE" w:rsidRDefault="00146F79" w:rsidP="00110291">
            <w:pPr>
              <w:spacing w:line="480" w:lineRule="auto"/>
              <w:rPr>
                <w:sz w:val="22"/>
                <w:szCs w:val="22"/>
                <w:lang w:val="it-IT"/>
              </w:rPr>
            </w:pPr>
            <w:r w:rsidRPr="00947ACE">
              <w:rPr>
                <w:sz w:val="22"/>
                <w:szCs w:val="22"/>
                <w:lang w:val="it-IT"/>
              </w:rPr>
              <w:t xml:space="preserve">€ 250.000,00 sinistro           </w:t>
            </w:r>
            <w:r w:rsidRPr="00947ACE">
              <w:rPr>
                <w:b/>
                <w:sz w:val="22"/>
                <w:szCs w:val="22"/>
                <w:lang w:val="it-IT"/>
              </w:rPr>
              <w:t>□    0 punti</w:t>
            </w:r>
          </w:p>
          <w:p w14:paraId="45530C33" w14:textId="47635309" w:rsidR="00146F79" w:rsidRPr="00947ACE" w:rsidRDefault="00146F79" w:rsidP="00110291">
            <w:pPr>
              <w:spacing w:line="480" w:lineRule="auto"/>
              <w:rPr>
                <w:sz w:val="22"/>
                <w:szCs w:val="22"/>
                <w:lang w:val="it-IT"/>
              </w:rPr>
            </w:pPr>
            <w:r w:rsidRPr="00947ACE">
              <w:rPr>
                <w:sz w:val="22"/>
                <w:szCs w:val="22"/>
                <w:lang w:val="it-IT"/>
              </w:rPr>
              <w:t xml:space="preserve">€ 350.000,00 sinistro </w:t>
            </w:r>
            <w:r w:rsidR="00C31912" w:rsidRPr="00947ACE">
              <w:rPr>
                <w:sz w:val="22"/>
                <w:szCs w:val="22"/>
                <w:lang w:val="it-IT"/>
              </w:rPr>
              <w:t xml:space="preserve">       </w:t>
            </w:r>
            <w:r w:rsidRPr="00947ACE">
              <w:rPr>
                <w:sz w:val="22"/>
                <w:szCs w:val="22"/>
                <w:lang w:val="it-IT"/>
              </w:rPr>
              <w:t xml:space="preserve">   </w:t>
            </w:r>
            <w:r w:rsidRPr="00947ACE">
              <w:rPr>
                <w:b/>
                <w:sz w:val="22"/>
                <w:szCs w:val="22"/>
                <w:lang w:val="it-IT"/>
              </w:rPr>
              <w:t>□   5 punti</w:t>
            </w:r>
          </w:p>
        </w:tc>
      </w:tr>
    </w:tbl>
    <w:p w14:paraId="61158953" w14:textId="77777777" w:rsidR="00513638" w:rsidRPr="00947ACE" w:rsidRDefault="00513638" w:rsidP="00513638">
      <w:pPr>
        <w:jc w:val="both"/>
        <w:rPr>
          <w:sz w:val="22"/>
          <w:szCs w:val="22"/>
          <w:lang w:val="it-IT"/>
        </w:rPr>
      </w:pPr>
    </w:p>
    <w:p w14:paraId="3D44DE70" w14:textId="3EE77DAD" w:rsidR="00A16D21" w:rsidRPr="00947ACE" w:rsidRDefault="00A16D21" w:rsidP="00A16D21">
      <w:pPr>
        <w:ind w:left="2160" w:firstLine="720"/>
        <w:jc w:val="center"/>
        <w:rPr>
          <w:sz w:val="22"/>
          <w:szCs w:val="22"/>
          <w:lang w:val="it-IT"/>
        </w:rPr>
      </w:pPr>
      <w:r w:rsidRPr="00947ACE">
        <w:rPr>
          <w:sz w:val="22"/>
          <w:szCs w:val="22"/>
          <w:lang w:val="it-IT"/>
        </w:rPr>
        <w:t>Il Concorrente</w:t>
      </w:r>
    </w:p>
    <w:p w14:paraId="6623783C" w14:textId="116A7CDD" w:rsidR="00C5647E" w:rsidRPr="00947ACE" w:rsidRDefault="00A16D21" w:rsidP="00A16D21">
      <w:pPr>
        <w:ind w:left="2160" w:firstLine="720"/>
        <w:jc w:val="center"/>
        <w:rPr>
          <w:sz w:val="22"/>
          <w:szCs w:val="22"/>
          <w:lang w:val="it-IT"/>
        </w:rPr>
      </w:pPr>
      <w:r w:rsidRPr="00947ACE">
        <w:rPr>
          <w:sz w:val="22"/>
          <w:szCs w:val="22"/>
          <w:lang w:val="it-IT"/>
        </w:rPr>
        <w:t>FIRMATO DIGITALMENTE</w:t>
      </w:r>
    </w:p>
    <w:sectPr w:rsidR="00C5647E" w:rsidRPr="00947ACE" w:rsidSect="003D2B73">
      <w:headerReference w:type="default" r:id="rId8"/>
      <w:footerReference w:type="default" r:id="rId9"/>
      <w:pgSz w:w="12240" w:h="15840"/>
      <w:pgMar w:top="1417" w:right="1134" w:bottom="1134" w:left="1134" w:header="720" w:footer="9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CFBD" w14:textId="77777777" w:rsidR="008567DD" w:rsidRDefault="008567DD">
      <w:r>
        <w:separator/>
      </w:r>
    </w:p>
  </w:endnote>
  <w:endnote w:type="continuationSeparator" w:id="0">
    <w:p w14:paraId="5D854E3C" w14:textId="77777777" w:rsidR="008567DD" w:rsidRDefault="0085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1DB91"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E771" w14:textId="77777777" w:rsidR="008567DD" w:rsidRDefault="008567DD">
      <w:r>
        <w:separator/>
      </w:r>
    </w:p>
  </w:footnote>
  <w:footnote w:type="continuationSeparator" w:id="0">
    <w:p w14:paraId="06F8FA40" w14:textId="77777777" w:rsidR="008567DD" w:rsidRDefault="008567DD">
      <w:r>
        <w:continuationSeparator/>
      </w:r>
    </w:p>
  </w:footnote>
  <w:footnote w:id="1">
    <w:p w14:paraId="01E9A9B0" w14:textId="77777777" w:rsidR="00AD4BB9" w:rsidRPr="00125376" w:rsidRDefault="00AD4BB9" w:rsidP="00AD4BB9">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0CBA" w14:textId="7B26456C" w:rsidR="00BB6D1C" w:rsidRPr="00FC6332" w:rsidRDefault="007012EE" w:rsidP="006511C3">
    <w:pPr>
      <w:pBdr>
        <w:bottom w:val="dotted" w:sz="4" w:space="1" w:color="548DD4"/>
      </w:pBdr>
      <w:autoSpaceDE w:val="0"/>
      <w:autoSpaceDN w:val="0"/>
      <w:adjustRightInd w:val="0"/>
      <w:jc w:val="both"/>
      <w:rPr>
        <w:rFonts w:ascii="Calibri" w:hAnsi="Calibri" w:cs="Arial"/>
        <w:i/>
        <w:color w:val="C0C0C0"/>
        <w:sz w:val="22"/>
        <w:szCs w:val="22"/>
        <w:lang w:val="it-IT"/>
      </w:rPr>
    </w:pPr>
    <w:r>
      <w:rPr>
        <w:rFonts w:ascii="Calibri" w:hAnsi="Calibri" w:cs="Arial"/>
        <w:i/>
        <w:color w:val="C0C0C0"/>
        <w:sz w:val="22"/>
        <w:szCs w:val="22"/>
        <w:lang w:val="it-IT"/>
      </w:rPr>
      <w:t xml:space="preserve">Allegato D - </w:t>
    </w:r>
    <w:r w:rsidR="0095595F">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303355">
      <w:rPr>
        <w:rFonts w:ascii="Calibri" w:hAnsi="Calibri" w:cs="Arial"/>
        <w:i/>
        <w:color w:val="C0C0C0"/>
        <w:sz w:val="22"/>
        <w:szCs w:val="22"/>
        <w:lang w:val="it-IT"/>
      </w:rPr>
      <w:tab/>
    </w:r>
  </w:p>
  <w:p w14:paraId="772A229F" w14:textId="7DAA046E" w:rsidR="007012EE" w:rsidRDefault="007012EE" w:rsidP="007012EE">
    <w:pPr>
      <w:pStyle w:val="Intestazione"/>
      <w:jc w:val="center"/>
      <w:rPr>
        <w:lang w:val="it-IT"/>
      </w:rPr>
    </w:pPr>
    <w:r>
      <w:rPr>
        <w:noProof/>
        <w:lang w:val="it-IT" w:eastAsia="it-IT"/>
      </w:rPr>
      <w:drawing>
        <wp:inline distT="0" distB="0" distL="0" distR="0" wp14:anchorId="295BF064" wp14:editId="4721FB14">
          <wp:extent cx="560705" cy="5911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591185"/>
                  </a:xfrm>
                  <a:prstGeom prst="rect">
                    <a:avLst/>
                  </a:prstGeom>
                  <a:noFill/>
                </pic:spPr>
              </pic:pic>
            </a:graphicData>
          </a:graphic>
        </wp:inline>
      </w:drawing>
    </w:r>
  </w:p>
  <w:p w14:paraId="0631E3D7" w14:textId="7FFB9480" w:rsidR="007012EE" w:rsidRPr="00FC6332" w:rsidRDefault="007012EE">
    <w:pPr>
      <w:pStyle w:val="Intestazione"/>
      <w:rPr>
        <w:lang w:val="it-IT"/>
      </w:rPr>
    </w:pPr>
    <w:r w:rsidRPr="003F3E9B">
      <w:rPr>
        <w:noProof/>
        <w:lang w:val="it-IT" w:eastAsia="it-IT"/>
      </w:rPr>
      <w:drawing>
        <wp:inline distT="0" distB="0" distL="0" distR="0" wp14:anchorId="45DCFDB8" wp14:editId="49FE4C04">
          <wp:extent cx="6121400" cy="971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A67331"/>
    <w:multiLevelType w:val="hybridMultilevel"/>
    <w:tmpl w:val="E808070C"/>
    <w:lvl w:ilvl="0" w:tplc="B596B0CE">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4"/>
  </w:num>
  <w:num w:numId="3">
    <w:abstractNumId w:val="7"/>
  </w:num>
  <w:num w:numId="4">
    <w:abstractNumId w:val="7"/>
  </w:num>
  <w:num w:numId="5">
    <w:abstractNumId w:val="4"/>
  </w:num>
  <w:num w:numId="6">
    <w:abstractNumId w:val="0"/>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2"/>
  </w:num>
  <w:num w:numId="27">
    <w:abstractNumId w:val="8"/>
  </w:num>
  <w:num w:numId="28">
    <w:abstractNumId w:val="11"/>
  </w:num>
  <w:num w:numId="29">
    <w:abstractNumId w:val="19"/>
  </w:num>
  <w:num w:numId="30">
    <w:abstractNumId w:val="13"/>
  </w:num>
  <w:num w:numId="31">
    <w:abstractNumId w:val="22"/>
  </w:num>
  <w:num w:numId="32">
    <w:abstractNumId w:val="5"/>
  </w:num>
  <w:num w:numId="33">
    <w:abstractNumId w:val="21"/>
  </w:num>
  <w:num w:numId="34">
    <w:abstractNumId w:val="15"/>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9"/>
  </w:num>
  <w:num w:numId="43">
    <w:abstractNumId w:val="18"/>
  </w:num>
  <w:num w:numId="44">
    <w:abstractNumId w:val="20"/>
  </w:num>
  <w:num w:numId="45">
    <w:abstractNumId w:val="3"/>
  </w:num>
  <w:num w:numId="46">
    <w:abstractNumId w:val="1"/>
  </w:num>
  <w:num w:numId="47">
    <w:abstractNumId w:val="6"/>
  </w:num>
  <w:num w:numId="48">
    <w:abstractNumId w:val="10"/>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32"/>
    <w:rsid w:val="00012D07"/>
    <w:rsid w:val="00016F98"/>
    <w:rsid w:val="00031E48"/>
    <w:rsid w:val="00034096"/>
    <w:rsid w:val="000374C5"/>
    <w:rsid w:val="00041DA0"/>
    <w:rsid w:val="00055204"/>
    <w:rsid w:val="000816A9"/>
    <w:rsid w:val="00083D40"/>
    <w:rsid w:val="000A5E89"/>
    <w:rsid w:val="000B4563"/>
    <w:rsid w:val="000B465E"/>
    <w:rsid w:val="000C61BC"/>
    <w:rsid w:val="000D0778"/>
    <w:rsid w:val="000E008A"/>
    <w:rsid w:val="0010637E"/>
    <w:rsid w:val="00106BBF"/>
    <w:rsid w:val="00110291"/>
    <w:rsid w:val="0012222C"/>
    <w:rsid w:val="00125376"/>
    <w:rsid w:val="0013014C"/>
    <w:rsid w:val="001314CD"/>
    <w:rsid w:val="00146F79"/>
    <w:rsid w:val="001535A7"/>
    <w:rsid w:val="00155332"/>
    <w:rsid w:val="001605D5"/>
    <w:rsid w:val="001628A8"/>
    <w:rsid w:val="001718A6"/>
    <w:rsid w:val="00185319"/>
    <w:rsid w:val="0018787F"/>
    <w:rsid w:val="001A2A95"/>
    <w:rsid w:val="001C18D1"/>
    <w:rsid w:val="001D3EC8"/>
    <w:rsid w:val="0021012E"/>
    <w:rsid w:val="00211C1B"/>
    <w:rsid w:val="0023176C"/>
    <w:rsid w:val="00244A62"/>
    <w:rsid w:val="00256837"/>
    <w:rsid w:val="00257EFB"/>
    <w:rsid w:val="002700D1"/>
    <w:rsid w:val="00284385"/>
    <w:rsid w:val="002849C3"/>
    <w:rsid w:val="0029366E"/>
    <w:rsid w:val="00295C4F"/>
    <w:rsid w:val="002D52F8"/>
    <w:rsid w:val="002E3245"/>
    <w:rsid w:val="002E39A0"/>
    <w:rsid w:val="00303355"/>
    <w:rsid w:val="00310747"/>
    <w:rsid w:val="003261B3"/>
    <w:rsid w:val="00332BFE"/>
    <w:rsid w:val="00336601"/>
    <w:rsid w:val="003539B8"/>
    <w:rsid w:val="00370C26"/>
    <w:rsid w:val="00383445"/>
    <w:rsid w:val="00393450"/>
    <w:rsid w:val="00394A54"/>
    <w:rsid w:val="003A67C6"/>
    <w:rsid w:val="003B3783"/>
    <w:rsid w:val="003C35EF"/>
    <w:rsid w:val="003C761F"/>
    <w:rsid w:val="003D2B73"/>
    <w:rsid w:val="003E3168"/>
    <w:rsid w:val="003F181F"/>
    <w:rsid w:val="003F3E9B"/>
    <w:rsid w:val="00421227"/>
    <w:rsid w:val="004431F7"/>
    <w:rsid w:val="004531C4"/>
    <w:rsid w:val="00472E09"/>
    <w:rsid w:val="004855A6"/>
    <w:rsid w:val="00496C66"/>
    <w:rsid w:val="0049782C"/>
    <w:rsid w:val="004A1007"/>
    <w:rsid w:val="004A4603"/>
    <w:rsid w:val="004B7102"/>
    <w:rsid w:val="004C7057"/>
    <w:rsid w:val="004D23C2"/>
    <w:rsid w:val="004D7417"/>
    <w:rsid w:val="004E1ADA"/>
    <w:rsid w:val="004F096A"/>
    <w:rsid w:val="00501323"/>
    <w:rsid w:val="00501FE9"/>
    <w:rsid w:val="00513638"/>
    <w:rsid w:val="0052201A"/>
    <w:rsid w:val="005302F1"/>
    <w:rsid w:val="00531754"/>
    <w:rsid w:val="00534181"/>
    <w:rsid w:val="005422FA"/>
    <w:rsid w:val="00547817"/>
    <w:rsid w:val="00547DAF"/>
    <w:rsid w:val="00551D69"/>
    <w:rsid w:val="0055606A"/>
    <w:rsid w:val="00571BCA"/>
    <w:rsid w:val="00574D74"/>
    <w:rsid w:val="005A527C"/>
    <w:rsid w:val="005A75AE"/>
    <w:rsid w:val="005B4177"/>
    <w:rsid w:val="005C1FD0"/>
    <w:rsid w:val="005C5CFE"/>
    <w:rsid w:val="005E67F9"/>
    <w:rsid w:val="005F31ED"/>
    <w:rsid w:val="005F7CBD"/>
    <w:rsid w:val="00604210"/>
    <w:rsid w:val="00605C30"/>
    <w:rsid w:val="00606625"/>
    <w:rsid w:val="006100A9"/>
    <w:rsid w:val="00617B29"/>
    <w:rsid w:val="00624130"/>
    <w:rsid w:val="00650531"/>
    <w:rsid w:val="006511C3"/>
    <w:rsid w:val="0065700B"/>
    <w:rsid w:val="00662165"/>
    <w:rsid w:val="006670A9"/>
    <w:rsid w:val="0067253F"/>
    <w:rsid w:val="00675CE2"/>
    <w:rsid w:val="00685194"/>
    <w:rsid w:val="006B19E5"/>
    <w:rsid w:val="006B1E9A"/>
    <w:rsid w:val="006B7216"/>
    <w:rsid w:val="006D24EA"/>
    <w:rsid w:val="006E2F63"/>
    <w:rsid w:val="006E6535"/>
    <w:rsid w:val="007012EE"/>
    <w:rsid w:val="00706699"/>
    <w:rsid w:val="0073151A"/>
    <w:rsid w:val="0073774E"/>
    <w:rsid w:val="00744271"/>
    <w:rsid w:val="00761FD5"/>
    <w:rsid w:val="00764B67"/>
    <w:rsid w:val="00784A47"/>
    <w:rsid w:val="007979C1"/>
    <w:rsid w:val="007A6132"/>
    <w:rsid w:val="007A6DBE"/>
    <w:rsid w:val="007B0AC8"/>
    <w:rsid w:val="007C197C"/>
    <w:rsid w:val="007C1FB8"/>
    <w:rsid w:val="007C3A1B"/>
    <w:rsid w:val="007E17F6"/>
    <w:rsid w:val="007E7ABB"/>
    <w:rsid w:val="007F59BA"/>
    <w:rsid w:val="00801E99"/>
    <w:rsid w:val="00802248"/>
    <w:rsid w:val="00806743"/>
    <w:rsid w:val="0082115E"/>
    <w:rsid w:val="00841569"/>
    <w:rsid w:val="00842588"/>
    <w:rsid w:val="00852673"/>
    <w:rsid w:val="0085303F"/>
    <w:rsid w:val="008567DD"/>
    <w:rsid w:val="0087105E"/>
    <w:rsid w:val="008745C2"/>
    <w:rsid w:val="00883A95"/>
    <w:rsid w:val="00890C29"/>
    <w:rsid w:val="008957E0"/>
    <w:rsid w:val="008D7C69"/>
    <w:rsid w:val="008E4177"/>
    <w:rsid w:val="008F5AB9"/>
    <w:rsid w:val="00905E78"/>
    <w:rsid w:val="00911F59"/>
    <w:rsid w:val="00926E1D"/>
    <w:rsid w:val="0094346C"/>
    <w:rsid w:val="00944B2C"/>
    <w:rsid w:val="00944E60"/>
    <w:rsid w:val="00947ACE"/>
    <w:rsid w:val="00951748"/>
    <w:rsid w:val="00951CB9"/>
    <w:rsid w:val="00951D04"/>
    <w:rsid w:val="0095206B"/>
    <w:rsid w:val="00953774"/>
    <w:rsid w:val="009550E1"/>
    <w:rsid w:val="0095595F"/>
    <w:rsid w:val="00966C7D"/>
    <w:rsid w:val="00973E4A"/>
    <w:rsid w:val="0099274B"/>
    <w:rsid w:val="009A5205"/>
    <w:rsid w:val="009B075A"/>
    <w:rsid w:val="009D24B4"/>
    <w:rsid w:val="009D77FE"/>
    <w:rsid w:val="009E1519"/>
    <w:rsid w:val="00A134AF"/>
    <w:rsid w:val="00A16D21"/>
    <w:rsid w:val="00A210A5"/>
    <w:rsid w:val="00A30062"/>
    <w:rsid w:val="00A3070E"/>
    <w:rsid w:val="00A313BB"/>
    <w:rsid w:val="00A36274"/>
    <w:rsid w:val="00A41747"/>
    <w:rsid w:val="00A66009"/>
    <w:rsid w:val="00A70671"/>
    <w:rsid w:val="00A811F8"/>
    <w:rsid w:val="00A83A99"/>
    <w:rsid w:val="00AA4865"/>
    <w:rsid w:val="00AA7A70"/>
    <w:rsid w:val="00AC3486"/>
    <w:rsid w:val="00AD4BB9"/>
    <w:rsid w:val="00AD7C77"/>
    <w:rsid w:val="00AE377D"/>
    <w:rsid w:val="00B03FC8"/>
    <w:rsid w:val="00B21752"/>
    <w:rsid w:val="00B37BD5"/>
    <w:rsid w:val="00B42022"/>
    <w:rsid w:val="00B65433"/>
    <w:rsid w:val="00BA570B"/>
    <w:rsid w:val="00BB1801"/>
    <w:rsid w:val="00BB64F3"/>
    <w:rsid w:val="00BB6CAB"/>
    <w:rsid w:val="00BB6D1C"/>
    <w:rsid w:val="00BC3783"/>
    <w:rsid w:val="00BC7493"/>
    <w:rsid w:val="00BD7232"/>
    <w:rsid w:val="00BD729D"/>
    <w:rsid w:val="00BD7556"/>
    <w:rsid w:val="00BE0748"/>
    <w:rsid w:val="00C11DA4"/>
    <w:rsid w:val="00C141F2"/>
    <w:rsid w:val="00C20ECB"/>
    <w:rsid w:val="00C23C38"/>
    <w:rsid w:val="00C243F3"/>
    <w:rsid w:val="00C24D2A"/>
    <w:rsid w:val="00C31912"/>
    <w:rsid w:val="00C4074E"/>
    <w:rsid w:val="00C429AB"/>
    <w:rsid w:val="00C43BEE"/>
    <w:rsid w:val="00C50C15"/>
    <w:rsid w:val="00C53026"/>
    <w:rsid w:val="00C53D24"/>
    <w:rsid w:val="00C5647E"/>
    <w:rsid w:val="00C60DED"/>
    <w:rsid w:val="00C7521D"/>
    <w:rsid w:val="00C75722"/>
    <w:rsid w:val="00C77336"/>
    <w:rsid w:val="00C921C8"/>
    <w:rsid w:val="00CA1F5A"/>
    <w:rsid w:val="00CB69EC"/>
    <w:rsid w:val="00CC1640"/>
    <w:rsid w:val="00CD4C0F"/>
    <w:rsid w:val="00CE4668"/>
    <w:rsid w:val="00CF5735"/>
    <w:rsid w:val="00D057D1"/>
    <w:rsid w:val="00D066F0"/>
    <w:rsid w:val="00D069EE"/>
    <w:rsid w:val="00D17FA3"/>
    <w:rsid w:val="00D55497"/>
    <w:rsid w:val="00D61BC7"/>
    <w:rsid w:val="00D635CA"/>
    <w:rsid w:val="00D63FC5"/>
    <w:rsid w:val="00D74A6B"/>
    <w:rsid w:val="00D85BAE"/>
    <w:rsid w:val="00DA78F5"/>
    <w:rsid w:val="00DB5F80"/>
    <w:rsid w:val="00DC54CA"/>
    <w:rsid w:val="00DD2B51"/>
    <w:rsid w:val="00DD2D3D"/>
    <w:rsid w:val="00DE5569"/>
    <w:rsid w:val="00E06273"/>
    <w:rsid w:val="00E128AB"/>
    <w:rsid w:val="00E14687"/>
    <w:rsid w:val="00E205B2"/>
    <w:rsid w:val="00E216AD"/>
    <w:rsid w:val="00E37DC2"/>
    <w:rsid w:val="00E44A06"/>
    <w:rsid w:val="00E516CD"/>
    <w:rsid w:val="00E6697E"/>
    <w:rsid w:val="00E66980"/>
    <w:rsid w:val="00E67384"/>
    <w:rsid w:val="00E82F03"/>
    <w:rsid w:val="00E952A9"/>
    <w:rsid w:val="00E955D1"/>
    <w:rsid w:val="00E979E2"/>
    <w:rsid w:val="00EB48DF"/>
    <w:rsid w:val="00EC33F6"/>
    <w:rsid w:val="00EC7DC6"/>
    <w:rsid w:val="00ED3DD4"/>
    <w:rsid w:val="00ED5AD3"/>
    <w:rsid w:val="00EF2C40"/>
    <w:rsid w:val="00F04A10"/>
    <w:rsid w:val="00F057A5"/>
    <w:rsid w:val="00F130FE"/>
    <w:rsid w:val="00F40999"/>
    <w:rsid w:val="00F53698"/>
    <w:rsid w:val="00F53922"/>
    <w:rsid w:val="00F57DD9"/>
    <w:rsid w:val="00F76149"/>
    <w:rsid w:val="00F76B9F"/>
    <w:rsid w:val="00F9137B"/>
    <w:rsid w:val="00F91DDC"/>
    <w:rsid w:val="00F95B71"/>
    <w:rsid w:val="00FB0D25"/>
    <w:rsid w:val="00FB3946"/>
    <w:rsid w:val="00FB790C"/>
    <w:rsid w:val="00FC6332"/>
    <w:rsid w:val="00FD2455"/>
    <w:rsid w:val="00FE44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ACDD4F"/>
  <w15:docId w15:val="{F1B63FB6-36AD-4A58-AEB7-629ED2B6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197C"/>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BB64F3"/>
    <w:pPr>
      <w:spacing w:line="360" w:lineRule="auto"/>
      <w:jc w:val="both"/>
    </w:pPr>
    <w:rPr>
      <w:rFonts w:ascii="Calibri" w:hAnsi="Calibri" w:cs="Calibri"/>
      <w:sz w:val="22"/>
      <w:szCs w:val="22"/>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 w:type="paragraph" w:styleId="Paragrafoelenco">
    <w:name w:val="List Paragraph"/>
    <w:basedOn w:val="Normale"/>
    <w:uiPriority w:val="34"/>
    <w:qFormat/>
    <w:rsid w:val="00A16D21"/>
    <w:pPr>
      <w:spacing w:after="200" w:line="276" w:lineRule="auto"/>
      <w:ind w:left="720"/>
      <w:contextualSpacing/>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3F1F-5A93-4AAA-9847-1D297838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6292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Scheda di offerta tecnica - Servizi Assicurativi</vt:lpstr>
    </vt:vector>
  </TitlesOfParts>
  <Company>Marsh &amp; McLennan Companies</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de Capua Viviana</cp:lastModifiedBy>
  <cp:revision>5</cp:revision>
  <cp:lastPrinted>2018-12-27T15:40:00Z</cp:lastPrinted>
  <dcterms:created xsi:type="dcterms:W3CDTF">2021-03-25T11:52:00Z</dcterms:created>
  <dcterms:modified xsi:type="dcterms:W3CDTF">2021-03-26T15:25:00Z</dcterms:modified>
</cp:coreProperties>
</file>